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Theme="majorEastAsia" w:hAnsiTheme="majorEastAsia" w:eastAsiaTheme="majorEastAsia" w:cstheme="majorEastAsia"/>
          <w:b/>
          <w:bCs/>
          <w:color w:val="auto"/>
          <w:sz w:val="44"/>
          <w:szCs w:val="44"/>
          <w:highlight w:val="none"/>
        </w:rPr>
      </w:pPr>
      <w:r>
        <w:rPr>
          <w:rFonts w:hint="eastAsia" w:asciiTheme="majorEastAsia" w:hAnsiTheme="majorEastAsia" w:eastAsiaTheme="majorEastAsia" w:cstheme="majorEastAsia"/>
          <w:b/>
          <w:bCs/>
          <w:color w:val="auto"/>
          <w:sz w:val="44"/>
          <w:szCs w:val="44"/>
          <w:highlight w:val="none"/>
        </w:rPr>
        <w:t>海南省种业实验室2024年度部门决算公开报告</w:t>
      </w:r>
    </w:p>
    <w:p>
      <w:pPr>
        <w:spacing w:line="578" w:lineRule="exact"/>
        <w:jc w:val="center"/>
        <w:rPr>
          <w:rFonts w:hint="eastAsia" w:asciiTheme="majorEastAsia" w:hAnsiTheme="majorEastAsia" w:eastAsiaTheme="majorEastAsia" w:cstheme="majorEastAsia"/>
          <w:b/>
          <w:bCs/>
          <w:color w:val="auto"/>
          <w:sz w:val="44"/>
          <w:szCs w:val="44"/>
          <w:highlight w:val="none"/>
        </w:rPr>
      </w:pPr>
    </w:p>
    <w:p>
      <w:pPr>
        <w:spacing w:line="578" w:lineRule="exact"/>
        <w:jc w:val="center"/>
        <w:rPr>
          <w:rFonts w:hint="eastAsia" w:ascii="黑体" w:hAnsi="ˎ̥" w:eastAsia="黑体"/>
          <w:b/>
          <w:color w:val="auto"/>
          <w:sz w:val="32"/>
          <w:szCs w:val="32"/>
          <w:highlight w:val="none"/>
        </w:rPr>
      </w:pPr>
    </w:p>
    <w:p>
      <w:pPr>
        <w:spacing w:line="578" w:lineRule="exact"/>
        <w:jc w:val="center"/>
        <w:rPr>
          <w:rFonts w:hint="eastAsia" w:ascii="黑体" w:hAnsi="黑体" w:eastAsia="黑体" w:cs="黑体"/>
          <w:color w:val="auto"/>
          <w:sz w:val="44"/>
          <w:szCs w:val="44"/>
          <w:highlight w:val="none"/>
        </w:rPr>
      </w:pPr>
      <w:bookmarkStart w:id="0" w:name="_Toc11440_WPSOffice_Type2"/>
      <w:r>
        <w:rPr>
          <w:rFonts w:hint="eastAsia" w:ascii="黑体" w:hAnsi="黑体" w:eastAsia="黑体" w:cs="黑体"/>
          <w:color w:val="auto"/>
          <w:sz w:val="44"/>
          <w:szCs w:val="44"/>
          <w:highlight w:val="none"/>
        </w:rPr>
        <w:t>目  录</w:t>
      </w:r>
    </w:p>
    <w:p>
      <w:pPr>
        <w:pStyle w:val="17"/>
        <w:tabs>
          <w:tab w:val="right" w:leader="dot" w:pos="8306"/>
        </w:tabs>
        <w:spacing w:line="578" w:lineRule="exact"/>
        <w:rPr>
          <w:rFonts w:hint="eastAsia"/>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_Toc1704_WPSOffice_Level1 </w:instrText>
      </w:r>
      <w:r>
        <w:rPr>
          <w:color w:val="auto"/>
          <w:sz w:val="32"/>
          <w:szCs w:val="32"/>
          <w:highlight w:val="none"/>
        </w:rPr>
        <w:fldChar w:fldCharType="separate"/>
      </w:r>
      <w:r>
        <w:rPr>
          <w:rFonts w:hint="eastAsia" w:ascii="黑体" w:hAnsi="ˎ̥" w:eastAsia="黑体"/>
          <w:color w:val="auto"/>
          <w:sz w:val="32"/>
          <w:szCs w:val="32"/>
          <w:highlight w:val="none"/>
        </w:rPr>
        <w:t>第一部分 基本情况</w:t>
      </w:r>
      <w:r>
        <w:rPr>
          <w:color w:val="auto"/>
          <w:sz w:val="32"/>
          <w:szCs w:val="32"/>
          <w:highlight w:val="none"/>
        </w:rPr>
        <w:tab/>
      </w:r>
      <w:r>
        <w:rPr>
          <w:color w:val="auto"/>
          <w:sz w:val="32"/>
          <w:szCs w:val="32"/>
          <w:highlight w:val="none"/>
        </w:rPr>
        <w:fldChar w:fldCharType="end"/>
      </w:r>
      <w:r>
        <w:rPr>
          <w:rFonts w:hint="eastAsia"/>
          <w:color w:val="auto"/>
          <w:sz w:val="32"/>
          <w:szCs w:val="32"/>
          <w:highlight w:val="none"/>
        </w:rPr>
        <w:t>2</w:t>
      </w:r>
    </w:p>
    <w:p>
      <w:pPr>
        <w:pStyle w:val="18"/>
        <w:tabs>
          <w:tab w:val="right" w:leader="dot" w:pos="8306"/>
        </w:tabs>
        <w:spacing w:line="578" w:lineRule="exact"/>
        <w:ind w:left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_Toc20274_WPSOffice_Level2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一、部门职责</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2</w:t>
      </w:r>
    </w:p>
    <w:p>
      <w:pPr>
        <w:pStyle w:val="18"/>
        <w:tabs>
          <w:tab w:val="right" w:leader="dot" w:pos="8306"/>
        </w:tabs>
        <w:spacing w:line="578" w:lineRule="exact"/>
        <w:ind w:left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_Toc4833_WPSOffice_Level2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二、机构设置</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2</w:t>
      </w:r>
    </w:p>
    <w:p>
      <w:pPr>
        <w:pStyle w:val="17"/>
        <w:tabs>
          <w:tab w:val="right" w:leader="dot" w:pos="8306"/>
        </w:tabs>
        <w:spacing w:line="578" w:lineRule="exact"/>
        <w:rPr>
          <w:rFonts w:hint="eastAsia" w:eastAsia="宋体"/>
          <w:color w:val="auto"/>
          <w:sz w:val="32"/>
          <w:szCs w:val="32"/>
          <w:highlight w:val="none"/>
          <w:lang w:val="en-US" w:eastAsia="zh-CN"/>
        </w:rPr>
      </w:pPr>
      <w:r>
        <w:rPr>
          <w:color w:val="auto"/>
          <w:sz w:val="32"/>
          <w:szCs w:val="32"/>
          <w:highlight w:val="none"/>
        </w:rPr>
        <w:fldChar w:fldCharType="begin"/>
      </w:r>
      <w:r>
        <w:rPr>
          <w:color w:val="auto"/>
          <w:sz w:val="32"/>
          <w:szCs w:val="32"/>
          <w:highlight w:val="none"/>
        </w:rPr>
        <w:instrText xml:space="preserve"> HYPERLINK \l _Toc28253_WPSOffice_Level1 </w:instrText>
      </w:r>
      <w:r>
        <w:rPr>
          <w:color w:val="auto"/>
          <w:sz w:val="32"/>
          <w:szCs w:val="32"/>
          <w:highlight w:val="none"/>
        </w:rPr>
        <w:fldChar w:fldCharType="separate"/>
      </w:r>
      <w:r>
        <w:rPr>
          <w:rFonts w:hint="eastAsia" w:ascii="黑体" w:hAnsi="ˎ̥" w:eastAsia="黑体"/>
          <w:color w:val="auto"/>
          <w:sz w:val="32"/>
          <w:szCs w:val="32"/>
          <w:highlight w:val="none"/>
        </w:rPr>
        <w:t xml:space="preserve">第二部分  </w:t>
      </w:r>
      <w:r>
        <w:rPr>
          <w:rFonts w:hint="default" w:ascii="黑体" w:hAnsi="ˎ̥" w:eastAsia="黑体"/>
          <w:color w:val="auto"/>
          <w:sz w:val="32"/>
          <w:szCs w:val="32"/>
          <w:highlight w:val="none"/>
          <w:lang w:val="en-US"/>
        </w:rPr>
        <w:t>2024</w:t>
      </w:r>
      <w:r>
        <w:rPr>
          <w:rFonts w:hint="eastAsia" w:ascii="黑体" w:hAnsi="ˎ̥" w:eastAsia="黑体"/>
          <w:color w:val="auto"/>
          <w:sz w:val="32"/>
          <w:szCs w:val="32"/>
          <w:highlight w:val="none"/>
        </w:rPr>
        <w:t>年度部门决算公开表</w:t>
      </w:r>
      <w:r>
        <w:rPr>
          <w:color w:val="auto"/>
          <w:sz w:val="32"/>
          <w:szCs w:val="32"/>
          <w:highlight w:val="none"/>
        </w:rPr>
        <w:tab/>
      </w:r>
      <w:r>
        <w:rPr>
          <w:color w:val="auto"/>
          <w:sz w:val="32"/>
          <w:szCs w:val="32"/>
          <w:highlight w:val="none"/>
        </w:rPr>
        <w:fldChar w:fldCharType="end"/>
      </w:r>
      <w:r>
        <w:rPr>
          <w:rFonts w:hint="eastAsia"/>
          <w:color w:val="auto"/>
          <w:sz w:val="32"/>
          <w:szCs w:val="32"/>
          <w:highlight w:val="none"/>
          <w:lang w:val="en-US" w:eastAsia="zh-CN"/>
        </w:rPr>
        <w:t>3</w:t>
      </w:r>
    </w:p>
    <w:p>
      <w:pPr>
        <w:pStyle w:val="17"/>
        <w:tabs>
          <w:tab w:val="right" w:leader="dot" w:pos="8306"/>
        </w:tabs>
        <w:spacing w:line="578" w:lineRule="exact"/>
        <w:rPr>
          <w:rFonts w:hint="eastAsia"/>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_Toc27590_WPSOffice_Level1 </w:instrText>
      </w:r>
      <w:r>
        <w:rPr>
          <w:color w:val="auto"/>
          <w:sz w:val="32"/>
          <w:szCs w:val="32"/>
          <w:highlight w:val="none"/>
        </w:rPr>
        <w:fldChar w:fldCharType="separate"/>
      </w:r>
      <w:r>
        <w:rPr>
          <w:rFonts w:hint="eastAsia" w:ascii="黑体" w:hAnsi="黑体" w:eastAsia="黑体" w:cs="黑体"/>
          <w:color w:val="auto"/>
          <w:sz w:val="32"/>
          <w:szCs w:val="32"/>
          <w:highlight w:val="none"/>
        </w:rPr>
        <w:t>第三部分</w:t>
      </w:r>
      <w:r>
        <w:rPr>
          <w:rFonts w:hint="eastAsia"/>
          <w:color w:val="auto"/>
          <w:sz w:val="32"/>
          <w:szCs w:val="32"/>
          <w:highlight w:val="none"/>
        </w:rPr>
        <w:t xml:space="preserve">  </w:t>
      </w:r>
      <w:r>
        <w:rPr>
          <w:rFonts w:hint="default" w:ascii="黑体" w:hAnsi="ˎ̥" w:eastAsia="黑体"/>
          <w:color w:val="auto"/>
          <w:sz w:val="32"/>
          <w:szCs w:val="32"/>
          <w:highlight w:val="none"/>
          <w:lang w:val="en-US"/>
        </w:rPr>
        <w:t>2024</w:t>
      </w:r>
      <w:r>
        <w:rPr>
          <w:rFonts w:hint="eastAsia" w:ascii="黑体" w:hAnsi="ˎ̥" w:eastAsia="黑体"/>
          <w:color w:val="auto"/>
          <w:sz w:val="32"/>
          <w:szCs w:val="32"/>
          <w:highlight w:val="none"/>
        </w:rPr>
        <w:t>年度部门决算情况说明</w:t>
      </w:r>
      <w:r>
        <w:rPr>
          <w:color w:val="auto"/>
          <w:sz w:val="32"/>
          <w:szCs w:val="32"/>
          <w:highlight w:val="none"/>
        </w:rPr>
        <w:tab/>
      </w:r>
      <w:r>
        <w:rPr>
          <w:color w:val="auto"/>
          <w:sz w:val="32"/>
          <w:szCs w:val="32"/>
          <w:highlight w:val="none"/>
        </w:rPr>
        <w:fldChar w:fldCharType="end"/>
      </w:r>
      <w:r>
        <w:rPr>
          <w:rFonts w:hint="eastAsia"/>
          <w:color w:val="auto"/>
          <w:sz w:val="32"/>
          <w:szCs w:val="32"/>
          <w:highlight w:val="none"/>
        </w:rPr>
        <w:t>3</w:t>
      </w:r>
    </w:p>
    <w:p>
      <w:pPr>
        <w:pStyle w:val="18"/>
        <w:tabs>
          <w:tab w:val="right" w:leader="dot" w:pos="8306"/>
        </w:tabs>
        <w:spacing w:line="578" w:lineRule="exact"/>
        <w:ind w:left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_Toc21737_WPSOffice_Level2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一、收入支出总体情况说明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3</w:t>
      </w:r>
    </w:p>
    <w:p>
      <w:pPr>
        <w:pStyle w:val="18"/>
        <w:tabs>
          <w:tab w:val="right" w:leader="dot" w:pos="8306"/>
        </w:tabs>
        <w:spacing w:line="578" w:lineRule="exact"/>
        <w:ind w:leftChars="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二、收入决算情况说明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lang w:val="en-US" w:eastAsia="zh-CN"/>
        </w:rPr>
        <w:t>5</w:t>
      </w:r>
    </w:p>
    <w:p>
      <w:pPr>
        <w:pStyle w:val="18"/>
        <w:tabs>
          <w:tab w:val="right" w:leader="dot" w:pos="8306"/>
        </w:tabs>
        <w:spacing w:line="578" w:lineRule="exact"/>
        <w:ind w:leftChars="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三、支出决算情况说明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lang w:val="en-US" w:eastAsia="zh-CN"/>
        </w:rPr>
        <w:t>5</w:t>
      </w:r>
    </w:p>
    <w:p>
      <w:pPr>
        <w:pStyle w:val="18"/>
        <w:tabs>
          <w:tab w:val="right" w:leader="dot" w:pos="8306"/>
        </w:tabs>
        <w:spacing w:line="578" w:lineRule="exact"/>
        <w:ind w:leftChars="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四、财政拨款收入支出决算</w:t>
      </w:r>
      <w:r>
        <w:rPr>
          <w:rFonts w:hint="eastAsia" w:ascii="仿宋" w:hAnsi="仿宋" w:eastAsia="仿宋" w:cs="仿宋"/>
          <w:bCs/>
          <w:color w:val="auto"/>
          <w:sz w:val="32"/>
          <w:szCs w:val="32"/>
          <w:highlight w:val="none"/>
          <w:lang w:val="en-US" w:eastAsia="zh-CN"/>
        </w:rPr>
        <w:t>总体</w:t>
      </w:r>
      <w:r>
        <w:rPr>
          <w:rFonts w:hint="eastAsia" w:ascii="仿宋" w:hAnsi="仿宋" w:eastAsia="仿宋" w:cs="仿宋"/>
          <w:bCs/>
          <w:color w:val="auto"/>
          <w:sz w:val="32"/>
          <w:szCs w:val="32"/>
          <w:highlight w:val="none"/>
        </w:rPr>
        <w:t>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lang w:val="en-US" w:eastAsia="zh-CN"/>
        </w:rPr>
        <w:t>5</w:t>
      </w:r>
    </w:p>
    <w:p>
      <w:pPr>
        <w:pStyle w:val="18"/>
        <w:tabs>
          <w:tab w:val="right" w:leader="dot" w:pos="8306"/>
        </w:tabs>
        <w:spacing w:line="578" w:lineRule="exact"/>
        <w:ind w:leftChars="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五、一般公共预算财政拨款支出决算情况说明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lang w:val="en-US" w:eastAsia="zh-CN"/>
        </w:rPr>
        <w:t>6</w:t>
      </w:r>
    </w:p>
    <w:p>
      <w:pPr>
        <w:pStyle w:val="18"/>
        <w:tabs>
          <w:tab w:val="right" w:leader="dot" w:pos="8306"/>
        </w:tabs>
        <w:spacing w:line="578" w:lineRule="exact"/>
        <w:ind w:leftChars="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六、一般公共预算财政拨款基本支出决算情况说明</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7</w:t>
      </w:r>
    </w:p>
    <w:p>
      <w:pPr>
        <w:pStyle w:val="18"/>
        <w:numPr>
          <w:ilvl w:val="0"/>
          <w:numId w:val="1"/>
        </w:numPr>
        <w:tabs>
          <w:tab w:val="right" w:leader="dot" w:pos="8306"/>
        </w:tabs>
        <w:spacing w:line="578" w:lineRule="exact"/>
        <w:ind w:leftChars="0"/>
        <w:rPr>
          <w:rFonts w:hint="eastAsia" w:ascii="仿宋" w:hAnsi="仿宋" w:eastAsia="仿宋" w:cs="仿宋"/>
          <w:color w:val="auto"/>
          <w:sz w:val="32"/>
          <w:szCs w:val="32"/>
          <w:highlight w:val="none"/>
        </w:rPr>
      </w:pPr>
      <w:r>
        <w:rPr>
          <w:rFonts w:hint="eastAsia" w:ascii="仿宋" w:hAnsi="仿宋" w:eastAsia="仿宋" w:cs="仿宋"/>
          <w:bCs/>
          <w:color w:val="auto"/>
          <w:sz w:val="32"/>
          <w:szCs w:val="32"/>
          <w:highlight w:val="none"/>
        </w:rPr>
        <w:t>政府性基金预算财政拨款支出决算情况说明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8</w:t>
      </w:r>
    </w:p>
    <w:p>
      <w:pPr>
        <w:pStyle w:val="18"/>
        <w:numPr>
          <w:ilvl w:val="0"/>
          <w:numId w:val="1"/>
        </w:numPr>
        <w:tabs>
          <w:tab w:val="right" w:leader="dot" w:pos="8306"/>
        </w:tabs>
        <w:spacing w:line="578" w:lineRule="exact"/>
        <w:ind w:leftChars="0"/>
        <w:rPr>
          <w:rFonts w:hint="eastAsia" w:ascii="仿宋" w:hAnsi="仿宋" w:eastAsia="仿宋" w:cs="仿宋"/>
          <w:color w:val="auto"/>
          <w:sz w:val="32"/>
          <w:szCs w:val="32"/>
          <w:highlight w:val="none"/>
        </w:rPr>
      </w:pPr>
      <w:r>
        <w:rPr>
          <w:rFonts w:hint="eastAsia" w:ascii="仿宋" w:hAnsi="仿宋" w:eastAsia="仿宋" w:cs="仿宋"/>
          <w:bCs/>
          <w:color w:val="auto"/>
          <w:sz w:val="32"/>
          <w:szCs w:val="32"/>
          <w:highlight w:val="none"/>
        </w:rPr>
        <w:t>国有资本经营预算财政拨款支出决算情况说明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8</w:t>
      </w:r>
    </w:p>
    <w:p>
      <w:pPr>
        <w:pStyle w:val="18"/>
        <w:tabs>
          <w:tab w:val="right" w:leader="dot" w:pos="8306"/>
        </w:tabs>
        <w:spacing w:line="578" w:lineRule="exact"/>
        <w:ind w:left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九、财政拨款“三公”经费支出决算情况说明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9</w:t>
      </w:r>
    </w:p>
    <w:p>
      <w:pPr>
        <w:pStyle w:val="18"/>
        <w:tabs>
          <w:tab w:val="right" w:leader="dot" w:pos="8306"/>
        </w:tabs>
        <w:spacing w:line="578" w:lineRule="exact"/>
        <w:ind w:leftChars="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十、预算绩效情况说明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0</w:t>
      </w:r>
    </w:p>
    <w:p>
      <w:pPr>
        <w:pStyle w:val="18"/>
        <w:tabs>
          <w:tab w:val="right" w:leader="dot" w:pos="8306"/>
        </w:tabs>
        <w:spacing w:line="578" w:lineRule="exact"/>
        <w:ind w:leftChars="0"/>
        <w:rPr>
          <w:rFonts w:hint="eastAsia" w:ascii="仿宋" w:hAnsi="仿宋" w:eastAsia="仿宋" w:cs="仿宋"/>
          <w:color w:val="auto"/>
          <w:sz w:val="32"/>
          <w:szCs w:val="32"/>
          <w:highlight w:val="none"/>
          <w:lang w:val="en-US" w:eastAsia="zh-CN"/>
        </w:rPr>
      </w:pPr>
      <w:r>
        <w:rPr>
          <w:rFonts w:hint="eastAsia" w:ascii="仿宋" w:hAnsi="仿宋" w:eastAsia="仿宋" w:cs="仿宋"/>
          <w:bCs/>
          <w:color w:val="auto"/>
          <w:sz w:val="32"/>
          <w:szCs w:val="32"/>
          <w:highlight w:val="none"/>
        </w:rPr>
        <w:t>十一、其他重要事项情况说明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5</w:t>
      </w:r>
    </w:p>
    <w:p>
      <w:pPr>
        <w:pStyle w:val="17"/>
        <w:tabs>
          <w:tab w:val="right" w:leader="dot" w:pos="8306"/>
        </w:tabs>
        <w:spacing w:line="578" w:lineRule="exact"/>
        <w:rPr>
          <w:rFonts w:hint="eastAsia" w:ascii="黑体" w:hAnsi="ˎ̥" w:eastAsia="宋体"/>
          <w:b/>
          <w:color w:val="auto"/>
          <w:sz w:val="32"/>
          <w:szCs w:val="32"/>
          <w:highlight w:val="none"/>
          <w:lang w:val="en-US" w:eastAsia="zh-CN"/>
        </w:rPr>
      </w:pPr>
      <w:r>
        <w:rPr>
          <w:color w:val="auto"/>
          <w:sz w:val="32"/>
          <w:szCs w:val="32"/>
          <w:highlight w:val="none"/>
        </w:rPr>
        <w:fldChar w:fldCharType="begin"/>
      </w:r>
      <w:r>
        <w:rPr>
          <w:color w:val="auto"/>
          <w:sz w:val="32"/>
          <w:szCs w:val="32"/>
          <w:highlight w:val="none"/>
        </w:rPr>
        <w:instrText xml:space="preserve"> HYPERLINK \l _Toc15425_WPSOffice_Level1 </w:instrText>
      </w:r>
      <w:r>
        <w:rPr>
          <w:color w:val="auto"/>
          <w:sz w:val="32"/>
          <w:szCs w:val="32"/>
          <w:highlight w:val="none"/>
        </w:rPr>
        <w:fldChar w:fldCharType="separate"/>
      </w:r>
      <w:r>
        <w:rPr>
          <w:rFonts w:hint="eastAsia" w:ascii="黑体" w:hAnsi="ˎ̥" w:eastAsia="黑体"/>
          <w:color w:val="auto"/>
          <w:sz w:val="32"/>
          <w:szCs w:val="32"/>
          <w:highlight w:val="none"/>
        </w:rPr>
        <w:t>第四部分  名词解释</w:t>
      </w:r>
      <w:r>
        <w:rPr>
          <w:color w:val="auto"/>
          <w:sz w:val="32"/>
          <w:szCs w:val="32"/>
          <w:highlight w:val="none"/>
        </w:rPr>
        <w:tab/>
      </w:r>
      <w:bookmarkStart w:id="1" w:name="_Toc15425_WPSOffice_Level1Page"/>
      <w:r>
        <w:rPr>
          <w:color w:val="auto"/>
          <w:sz w:val="32"/>
          <w:szCs w:val="32"/>
          <w:highlight w:val="none"/>
        </w:rPr>
        <w:t>1</w:t>
      </w:r>
      <w:bookmarkEnd w:id="1"/>
      <w:r>
        <w:rPr>
          <w:color w:val="auto"/>
          <w:sz w:val="32"/>
          <w:szCs w:val="32"/>
          <w:highlight w:val="none"/>
        </w:rPr>
        <w:fldChar w:fldCharType="end"/>
      </w:r>
      <w:bookmarkEnd w:id="0"/>
      <w:r>
        <w:rPr>
          <w:rFonts w:hint="eastAsia"/>
          <w:color w:val="auto"/>
          <w:sz w:val="32"/>
          <w:szCs w:val="32"/>
          <w:highlight w:val="none"/>
          <w:lang w:val="en-US" w:eastAsia="zh-CN"/>
        </w:rPr>
        <w:t>6</w:t>
      </w:r>
    </w:p>
    <w:p>
      <w:pPr>
        <w:spacing w:line="578" w:lineRule="exact"/>
        <w:jc w:val="both"/>
        <w:rPr>
          <w:rFonts w:hint="eastAsia" w:ascii="黑体" w:hAnsi="ˎ̥" w:eastAsia="黑体"/>
          <w:color w:val="auto"/>
          <w:sz w:val="32"/>
          <w:szCs w:val="32"/>
          <w:highlight w:val="none"/>
        </w:rPr>
      </w:pPr>
      <w:bookmarkStart w:id="2" w:name="_Toc22941_WPSOffice_Level1"/>
      <w:bookmarkStart w:id="3" w:name="_Toc1704_WPSOffice_Level1"/>
      <w:bookmarkStart w:id="4" w:name="_Toc23465_WPSOffice_Level1"/>
      <w:bookmarkStart w:id="5" w:name="_Toc10049_WPSOffice_Level1"/>
      <w:bookmarkStart w:id="6" w:name="_Toc10720_WPSOffice_Level1"/>
      <w:bookmarkStart w:id="7" w:name="_Toc32433_WPSOffice_Level1"/>
      <w:bookmarkStart w:id="8" w:name="_Toc24238_WPSOffice_Level2"/>
      <w:bookmarkStart w:id="9" w:name="_Toc26580_WPSOffice_Level2"/>
      <w:bookmarkStart w:id="10" w:name="_Toc14159_WPSOffice_Level2"/>
      <w:bookmarkStart w:id="11" w:name="_Toc20274_WPSOffice_Level2"/>
      <w:bookmarkStart w:id="12" w:name="_Toc32622_WPSOffice_Level2"/>
      <w:bookmarkStart w:id="13" w:name="_Toc20205_WPSOffice_Level2"/>
    </w:p>
    <w:p>
      <w:pPr>
        <w:spacing w:line="578" w:lineRule="exact"/>
        <w:jc w:val="center"/>
        <w:rPr>
          <w:rFonts w:hint="eastAsia" w:ascii="黑体" w:hAnsi="ˎ̥" w:eastAsia="黑体"/>
          <w:color w:val="auto"/>
          <w:sz w:val="32"/>
          <w:szCs w:val="32"/>
          <w:highlight w:val="none"/>
        </w:rPr>
      </w:pPr>
      <w:r>
        <w:rPr>
          <w:rFonts w:hint="eastAsia" w:ascii="黑体" w:hAnsi="ˎ̥" w:eastAsia="黑体"/>
          <w:color w:val="auto"/>
          <w:sz w:val="32"/>
          <w:szCs w:val="32"/>
          <w:highlight w:val="none"/>
        </w:rPr>
        <w:t xml:space="preserve">第一部分  </w:t>
      </w:r>
      <w:bookmarkEnd w:id="2"/>
      <w:bookmarkEnd w:id="3"/>
      <w:bookmarkEnd w:id="4"/>
      <w:bookmarkEnd w:id="5"/>
      <w:bookmarkEnd w:id="6"/>
      <w:bookmarkEnd w:id="7"/>
      <w:r>
        <w:rPr>
          <w:rFonts w:hint="eastAsia" w:ascii="黑体" w:hAnsi="ˎ̥" w:eastAsia="黑体"/>
          <w:color w:val="auto"/>
          <w:sz w:val="32"/>
          <w:szCs w:val="32"/>
          <w:highlight w:val="none"/>
        </w:rPr>
        <w:t>基本情况</w:t>
      </w:r>
    </w:p>
    <w:p>
      <w:pPr>
        <w:spacing w:line="578" w:lineRule="exact"/>
        <w:ind w:firstLine="640" w:firstLineChars="200"/>
        <w:rPr>
          <w:rFonts w:hint="eastAsia" w:ascii="楷体" w:hAnsi="楷体" w:eastAsia="楷体" w:cs="楷体"/>
          <w:color w:val="auto"/>
          <w:sz w:val="32"/>
          <w:szCs w:val="32"/>
          <w:highlight w:val="none"/>
        </w:rPr>
      </w:pPr>
    </w:p>
    <w:p>
      <w:pPr>
        <w:numPr>
          <w:ilvl w:val="0"/>
          <w:numId w:val="2"/>
        </w:numPr>
        <w:spacing w:line="578"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部门</w:t>
      </w:r>
      <w:bookmarkEnd w:id="8"/>
      <w:r>
        <w:rPr>
          <w:rFonts w:hint="eastAsia" w:ascii="黑体" w:hAnsi="黑体" w:eastAsia="黑体" w:cs="黑体"/>
          <w:color w:val="auto"/>
          <w:sz w:val="32"/>
          <w:szCs w:val="32"/>
          <w:highlight w:val="none"/>
        </w:rPr>
        <w:t>职责</w:t>
      </w:r>
      <w:bookmarkEnd w:id="9"/>
      <w:bookmarkEnd w:id="10"/>
      <w:bookmarkEnd w:id="11"/>
      <w:bookmarkEnd w:id="12"/>
      <w:bookmarkEnd w:id="13"/>
    </w:p>
    <w:p>
      <w:pPr>
        <w:spacing w:line="578" w:lineRule="exact"/>
        <w:ind w:firstLine="640" w:firstLineChars="200"/>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海南省种业实验室（原海南省崖州湾种子实验室）于2023年12月更名并优化目标定位，致力于支撑海南自贸港建设和“南繁硅谷”战略。实验室专注水产种业、热带果蔬领域，整合国内外优秀人才，推动精准育种和高效农业的技术创新与成果转化。</w:t>
      </w:r>
    </w:p>
    <w:p>
      <w:pPr>
        <w:spacing w:line="578" w:lineRule="exact"/>
        <w:ind w:firstLine="640" w:firstLineChars="200"/>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实验室现拥有精准育种技术中心、国家野生稻资源圃、冯家湾设施渔业中试研究基地、基因组测序平台及遗传转化平台等核心研究设施；围绕“热带水产”“热带果蔬”两大主线，重点布局五大科研方向，已引进8个院士团队和2个重点团队，形成覆盖基础研究、技术开发与产业转化的全链条创新体系。</w:t>
      </w:r>
    </w:p>
    <w:p>
      <w:pPr>
        <w:spacing w:line="578" w:lineRule="exact"/>
        <w:ind w:firstLine="640" w:firstLineChars="200"/>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自2021年5月成立至今，实验室累计承担国家自然科学基金及博士后项目22项、省部级科研项目124项，获批国家发明专利9项，发表学术论文382篇，为海南热带高效农业发展和国家种业振兴战略提供了重要科技支撑。</w:t>
      </w:r>
    </w:p>
    <w:p>
      <w:pPr>
        <w:spacing w:line="578" w:lineRule="exact"/>
        <w:ind w:firstLine="640" w:firstLineChars="200"/>
        <w:rPr>
          <w:rFonts w:hint="eastAsia" w:ascii="黑体" w:hAnsi="黑体" w:eastAsia="黑体" w:cs="黑体"/>
          <w:color w:val="auto"/>
          <w:sz w:val="32"/>
          <w:szCs w:val="32"/>
          <w:highlight w:val="none"/>
        </w:rPr>
      </w:pPr>
      <w:bookmarkStart w:id="14" w:name="_Toc6572_WPSOffice_Level2"/>
      <w:bookmarkStart w:id="15" w:name="_Toc24059_WPSOffice_Level2"/>
      <w:bookmarkStart w:id="16" w:name="_Toc17796_WPSOffice_Level2"/>
      <w:bookmarkStart w:id="17" w:name="_Toc4833_WPSOffice_Level2"/>
      <w:bookmarkStart w:id="18" w:name="_Toc24474_WPSOffice_Level2"/>
      <w:r>
        <w:rPr>
          <w:rFonts w:hint="eastAsia" w:ascii="黑体" w:hAnsi="黑体" w:eastAsia="黑体" w:cs="黑体"/>
          <w:color w:val="auto"/>
          <w:sz w:val="32"/>
          <w:szCs w:val="32"/>
          <w:highlight w:val="none"/>
        </w:rPr>
        <w:t>二、机构设置</w:t>
      </w:r>
      <w:bookmarkEnd w:id="14"/>
      <w:bookmarkEnd w:id="15"/>
      <w:bookmarkEnd w:id="16"/>
      <w:bookmarkEnd w:id="17"/>
      <w:bookmarkEnd w:id="18"/>
    </w:p>
    <w:p>
      <w:pPr>
        <w:spacing w:line="578" w:lineRule="exact"/>
        <w:ind w:firstLine="640" w:firstLineChars="200"/>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纳入</w:t>
      </w:r>
      <w:r>
        <w:rPr>
          <w:rFonts w:hint="eastAsia" w:ascii="仿宋_GB2312" w:hAnsi="ˎ̥" w:eastAsia="仿宋_GB2312"/>
          <w:color w:val="auto"/>
          <w:sz w:val="32"/>
          <w:szCs w:val="32"/>
          <w:highlight w:val="none"/>
          <w:lang w:val="en-US" w:eastAsia="zh-CN"/>
        </w:rPr>
        <w:t>海南省种业实验室</w:t>
      </w: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年度部门决算编制范围的单位共</w:t>
      </w:r>
      <w:r>
        <w:rPr>
          <w:rFonts w:hint="eastAsia" w:ascii="仿宋_GB2312" w:hAnsi="ˎ̥" w:eastAsia="仿宋_GB2312"/>
          <w:color w:val="auto"/>
          <w:sz w:val="32"/>
          <w:szCs w:val="32"/>
          <w:highlight w:val="none"/>
          <w:lang w:val="en-US" w:eastAsia="zh-CN"/>
        </w:rPr>
        <w:t>1</w:t>
      </w:r>
      <w:r>
        <w:rPr>
          <w:rFonts w:hint="eastAsia" w:ascii="仿宋_GB2312" w:hAnsi="ˎ̥" w:eastAsia="仿宋_GB2312"/>
          <w:color w:val="auto"/>
          <w:sz w:val="32"/>
          <w:szCs w:val="32"/>
          <w:highlight w:val="none"/>
        </w:rPr>
        <w:t>个，包括：</w:t>
      </w:r>
    </w:p>
    <w:p>
      <w:pPr>
        <w:numPr>
          <w:ilvl w:val="0"/>
          <w:numId w:val="3"/>
        </w:numPr>
        <w:spacing w:line="578" w:lineRule="exact"/>
        <w:ind w:firstLine="640" w:firstLineChars="200"/>
        <w:rPr>
          <w:rFonts w:hint="eastAsia" w:ascii="方正楷体_GBK" w:hAnsi="方正楷体_GBK" w:eastAsia="方正楷体_GBK" w:cs="方正楷体_GBK"/>
          <w:color w:val="auto"/>
          <w:sz w:val="32"/>
          <w:szCs w:val="32"/>
          <w:highlight w:val="none"/>
        </w:rPr>
      </w:pPr>
      <w:bookmarkStart w:id="19" w:name="_Toc25738_WPSOffice_Level2"/>
      <w:bookmarkStart w:id="20" w:name="_Toc24421_WPSOffice_Level2"/>
      <w:r>
        <w:rPr>
          <w:rFonts w:hint="eastAsia" w:ascii="方正楷体_GBK" w:hAnsi="方正楷体_GBK" w:eastAsia="方正楷体_GBK" w:cs="方正楷体_GBK"/>
          <w:color w:val="auto"/>
          <w:sz w:val="32"/>
          <w:szCs w:val="32"/>
          <w:highlight w:val="none"/>
          <w:lang w:val="en-US" w:eastAsia="zh-CN"/>
        </w:rPr>
        <w:t>海南省种业实验室</w:t>
      </w:r>
      <w:r>
        <w:rPr>
          <w:rFonts w:hint="eastAsia" w:ascii="方正楷体_GBK" w:hAnsi="方正楷体_GBK" w:eastAsia="方正楷体_GBK" w:cs="方正楷体_GBK"/>
          <w:color w:val="auto"/>
          <w:sz w:val="32"/>
          <w:szCs w:val="32"/>
          <w:highlight w:val="none"/>
        </w:rPr>
        <w:t>部门本级</w:t>
      </w:r>
      <w:bookmarkEnd w:id="19"/>
      <w:bookmarkEnd w:id="20"/>
      <w:bookmarkStart w:id="21" w:name="_Toc28253_WPSOffice_Level1"/>
      <w:bookmarkStart w:id="22" w:name="_Toc30451_WPSOffice_Level1"/>
      <w:bookmarkStart w:id="23" w:name="_Toc30690_WPSOffice_Level1"/>
      <w:bookmarkStart w:id="24" w:name="_Toc15521_WPSOffice_Level1"/>
      <w:bookmarkStart w:id="25" w:name="_Toc6234_WPSOffice_Level1"/>
      <w:bookmarkStart w:id="26" w:name="_Toc8164_WPSOffice_Level1"/>
      <w:bookmarkStart w:id="27" w:name="_Toc4029_WPSOffice_Level2"/>
      <w:bookmarkStart w:id="28" w:name="_Toc32472_WPSOffice_Level2"/>
      <w:bookmarkStart w:id="29" w:name="_Toc11518_WPSOffice_Level2"/>
      <w:bookmarkStart w:id="30" w:name="_Toc8867_WPSOffice_Level2"/>
      <w:bookmarkStart w:id="31" w:name="_Toc32695_WPSOffice_Level2"/>
      <w:bookmarkStart w:id="32" w:name="_Toc6211_WPSOffice_Level2"/>
    </w:p>
    <w:p>
      <w:pPr>
        <w:spacing w:line="578" w:lineRule="exact"/>
        <w:ind w:firstLine="640" w:firstLineChars="200"/>
        <w:rPr>
          <w:rFonts w:hint="default" w:ascii="仿宋_GB2312" w:hAnsi="ˎ̥" w:eastAsia="仿宋_GB2312" w:cs="Times New Roman"/>
          <w:color w:val="auto"/>
          <w:sz w:val="32"/>
          <w:szCs w:val="32"/>
          <w:highlight w:val="none"/>
          <w:lang w:val="en-US" w:eastAsia="zh-CN"/>
        </w:rPr>
      </w:pPr>
      <w:r>
        <w:rPr>
          <w:rFonts w:hint="eastAsia" w:ascii="仿宋_GB2312" w:hAnsi="ˎ̥" w:eastAsia="仿宋_GB2312" w:cs="Times New Roman"/>
          <w:color w:val="auto"/>
          <w:sz w:val="32"/>
          <w:szCs w:val="32"/>
          <w:highlight w:val="none"/>
          <w:lang w:val="en-US" w:eastAsia="zh-CN"/>
        </w:rPr>
        <w:t>实验室部门本级下设综合管理部、科研管理部、产业促进部和科技条件与财务部四个管理部门，负责实验室运行管理和科研规划。</w:t>
      </w:r>
    </w:p>
    <w:p>
      <w:pPr>
        <w:numPr>
          <w:ilvl w:val="0"/>
          <w:numId w:val="0"/>
        </w:numPr>
        <w:spacing w:line="578" w:lineRule="exact"/>
        <w:rPr>
          <w:rFonts w:hint="eastAsia" w:ascii="方正楷体_GBK" w:hAnsi="方正楷体_GBK" w:eastAsia="方正楷体_GBK" w:cs="方正楷体_GBK"/>
          <w:color w:val="auto"/>
          <w:sz w:val="32"/>
          <w:szCs w:val="32"/>
          <w:highlight w:val="none"/>
          <w:lang w:eastAsia="zh-CN"/>
        </w:rPr>
      </w:pPr>
    </w:p>
    <w:p>
      <w:pPr>
        <w:spacing w:line="578" w:lineRule="exact"/>
        <w:jc w:val="center"/>
        <w:rPr>
          <w:rFonts w:hint="eastAsia" w:ascii="黑体" w:hAnsi="ˎ̥" w:eastAsia="黑体"/>
          <w:color w:val="auto"/>
          <w:sz w:val="32"/>
          <w:szCs w:val="32"/>
          <w:highlight w:val="none"/>
        </w:rPr>
      </w:pPr>
      <w:r>
        <w:rPr>
          <w:rFonts w:hint="eastAsia" w:ascii="黑体" w:hAnsi="ˎ̥" w:eastAsia="黑体"/>
          <w:color w:val="auto"/>
          <w:sz w:val="32"/>
          <w:szCs w:val="32"/>
          <w:highlight w:val="none"/>
        </w:rPr>
        <w:t xml:space="preserve">第二部分  </w:t>
      </w:r>
      <w:r>
        <w:rPr>
          <w:rFonts w:hint="default" w:ascii="黑体" w:hAnsi="ˎ̥" w:eastAsia="黑体"/>
          <w:color w:val="auto"/>
          <w:sz w:val="32"/>
          <w:szCs w:val="32"/>
          <w:highlight w:val="none"/>
          <w:lang w:val="en-US"/>
        </w:rPr>
        <w:t>2024</w:t>
      </w:r>
      <w:r>
        <w:rPr>
          <w:rFonts w:hint="eastAsia" w:ascii="黑体" w:hAnsi="ˎ̥" w:eastAsia="黑体"/>
          <w:color w:val="auto"/>
          <w:sz w:val="32"/>
          <w:szCs w:val="32"/>
          <w:highlight w:val="none"/>
        </w:rPr>
        <w:t>年度部门决算公开报表</w:t>
      </w:r>
      <w:bookmarkEnd w:id="21"/>
      <w:bookmarkEnd w:id="22"/>
      <w:bookmarkEnd w:id="23"/>
      <w:bookmarkEnd w:id="24"/>
      <w:bookmarkEnd w:id="25"/>
      <w:bookmarkEnd w:id="26"/>
    </w:p>
    <w:p>
      <w:pPr>
        <w:spacing w:line="578" w:lineRule="exact"/>
        <w:ind w:firstLine="645"/>
        <w:rPr>
          <w:rFonts w:hint="eastAsia" w:ascii="黑体" w:hAnsi="黑体" w:eastAsia="黑体" w:cs="黑体"/>
          <w:color w:val="auto"/>
          <w:sz w:val="32"/>
          <w:szCs w:val="32"/>
          <w:highlight w:val="none"/>
        </w:rPr>
      </w:pPr>
    </w:p>
    <w:p>
      <w:pPr>
        <w:spacing w:line="578" w:lineRule="exact"/>
        <w:ind w:firstLine="645"/>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一、收入支出决算公开表</w:t>
      </w:r>
      <w:bookmarkEnd w:id="27"/>
      <w:bookmarkEnd w:id="28"/>
      <w:bookmarkEnd w:id="29"/>
      <w:bookmarkEnd w:id="30"/>
      <w:bookmarkEnd w:id="31"/>
      <w:bookmarkEnd w:id="32"/>
    </w:p>
    <w:p>
      <w:pPr>
        <w:spacing w:line="578" w:lineRule="exact"/>
        <w:ind w:firstLine="645"/>
        <w:rPr>
          <w:rFonts w:hint="eastAsia" w:ascii="黑体" w:hAnsi="黑体" w:eastAsia="黑体" w:cs="黑体"/>
          <w:color w:val="auto"/>
          <w:sz w:val="32"/>
          <w:szCs w:val="32"/>
          <w:highlight w:val="none"/>
        </w:rPr>
      </w:pPr>
      <w:bookmarkStart w:id="33" w:name="_Toc14349_WPSOffice_Level2"/>
      <w:bookmarkStart w:id="34" w:name="_Toc26621_WPSOffice_Level2"/>
      <w:bookmarkStart w:id="35" w:name="_Toc30334_WPSOffice_Level2"/>
      <w:bookmarkStart w:id="36" w:name="_Toc28622_WPSOffice_Level2"/>
      <w:bookmarkStart w:id="37" w:name="_Toc23139_WPSOffice_Level2"/>
      <w:bookmarkStart w:id="38" w:name="_Toc25608_WPSOffice_Level2"/>
      <w:r>
        <w:rPr>
          <w:rFonts w:hint="eastAsia" w:ascii="黑体" w:hAnsi="黑体" w:eastAsia="黑体" w:cs="黑体"/>
          <w:color w:val="auto"/>
          <w:sz w:val="32"/>
          <w:szCs w:val="32"/>
          <w:highlight w:val="none"/>
        </w:rPr>
        <w:t>二、收入决算公开表</w:t>
      </w:r>
      <w:bookmarkEnd w:id="33"/>
      <w:bookmarkEnd w:id="34"/>
      <w:bookmarkEnd w:id="35"/>
      <w:bookmarkEnd w:id="36"/>
      <w:bookmarkEnd w:id="37"/>
      <w:bookmarkEnd w:id="38"/>
      <w:bookmarkStart w:id="39" w:name="_Toc3262_WPSOffice_Level2"/>
      <w:bookmarkStart w:id="40" w:name="_Toc17626_WPSOffice_Level2"/>
      <w:bookmarkStart w:id="41" w:name="_Toc17858_WPSOffice_Level2"/>
      <w:bookmarkStart w:id="42" w:name="_Toc14658_WPSOffice_Level2"/>
      <w:bookmarkStart w:id="43" w:name="_Toc5489_WPSOffice_Level2"/>
      <w:bookmarkStart w:id="44" w:name="_Toc13854_WPSOffice_Level2"/>
    </w:p>
    <w:p>
      <w:pPr>
        <w:spacing w:line="578" w:lineRule="exact"/>
        <w:ind w:firstLine="645"/>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三、支出决算公开表</w:t>
      </w:r>
      <w:bookmarkEnd w:id="39"/>
      <w:bookmarkEnd w:id="40"/>
      <w:bookmarkEnd w:id="41"/>
      <w:bookmarkEnd w:id="42"/>
      <w:bookmarkEnd w:id="43"/>
      <w:bookmarkEnd w:id="44"/>
      <w:bookmarkStart w:id="45" w:name="_Toc23493_WPSOffice_Level2"/>
      <w:bookmarkStart w:id="46" w:name="_Toc21415_WPSOffice_Level2"/>
      <w:bookmarkStart w:id="47" w:name="_Toc23591_WPSOffice_Level2"/>
      <w:bookmarkStart w:id="48" w:name="_Toc13701_WPSOffice_Level2"/>
      <w:bookmarkStart w:id="49" w:name="_Toc7988_WPSOffice_Level2"/>
      <w:bookmarkStart w:id="50" w:name="_Toc4265_WPSOffice_Level2"/>
    </w:p>
    <w:p>
      <w:pPr>
        <w:spacing w:line="578" w:lineRule="exact"/>
        <w:ind w:firstLine="645"/>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四、财政拨款收入支出决算公开表</w:t>
      </w:r>
      <w:bookmarkEnd w:id="45"/>
      <w:bookmarkEnd w:id="46"/>
      <w:bookmarkEnd w:id="47"/>
      <w:bookmarkEnd w:id="48"/>
      <w:bookmarkEnd w:id="49"/>
      <w:bookmarkEnd w:id="50"/>
    </w:p>
    <w:p>
      <w:pPr>
        <w:spacing w:line="578" w:lineRule="exact"/>
        <w:ind w:firstLine="645"/>
        <w:rPr>
          <w:rFonts w:hint="eastAsia" w:ascii="黑体" w:hAnsi="黑体" w:eastAsia="黑体" w:cs="黑体"/>
          <w:color w:val="auto"/>
          <w:sz w:val="32"/>
          <w:szCs w:val="32"/>
          <w:highlight w:val="none"/>
        </w:rPr>
      </w:pPr>
      <w:bookmarkStart w:id="51" w:name="_Toc7879_WPSOffice_Level2"/>
      <w:bookmarkStart w:id="52" w:name="_Toc22783_WPSOffice_Level2"/>
      <w:bookmarkStart w:id="53" w:name="_Toc23829_WPSOffice_Level2"/>
      <w:bookmarkStart w:id="54" w:name="_Toc25166_WPSOffice_Level2"/>
      <w:bookmarkStart w:id="55" w:name="_Toc13516_WPSOffice_Level2"/>
      <w:bookmarkStart w:id="56" w:name="_Toc2158_WPSOffice_Level2"/>
      <w:r>
        <w:rPr>
          <w:rFonts w:hint="eastAsia" w:ascii="黑体" w:hAnsi="黑体" w:eastAsia="黑体" w:cs="黑体"/>
          <w:color w:val="auto"/>
          <w:sz w:val="32"/>
          <w:szCs w:val="32"/>
          <w:highlight w:val="none"/>
        </w:rPr>
        <w:t>五、一般公共预算财政拨款收入支出决算</w:t>
      </w:r>
      <w:bookmarkEnd w:id="51"/>
      <w:bookmarkEnd w:id="52"/>
      <w:bookmarkEnd w:id="53"/>
      <w:bookmarkEnd w:id="54"/>
      <w:r>
        <w:rPr>
          <w:rFonts w:hint="eastAsia" w:ascii="黑体" w:hAnsi="黑体" w:eastAsia="黑体" w:cs="黑体"/>
          <w:color w:val="auto"/>
          <w:sz w:val="32"/>
          <w:szCs w:val="32"/>
          <w:highlight w:val="none"/>
        </w:rPr>
        <w:t>公开表</w:t>
      </w:r>
      <w:bookmarkEnd w:id="55"/>
      <w:bookmarkEnd w:id="56"/>
      <w:bookmarkStart w:id="57" w:name="_Toc8373_WPSOffice_Level2"/>
      <w:bookmarkStart w:id="58" w:name="_Toc25362_WPSOffice_Level2"/>
      <w:bookmarkStart w:id="59" w:name="_Toc5343_WPSOffice_Level2"/>
      <w:bookmarkStart w:id="60" w:name="_Toc17833_WPSOffice_Level2"/>
      <w:bookmarkStart w:id="61" w:name="_Toc2632_WPSOffice_Level2"/>
      <w:bookmarkStart w:id="62" w:name="_Toc17283_WPSOffice_Level2"/>
    </w:p>
    <w:p>
      <w:pPr>
        <w:spacing w:line="578" w:lineRule="exact"/>
        <w:ind w:firstLine="645"/>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六、一般公共预算财政拨款基本支出决算</w:t>
      </w:r>
      <w:bookmarkEnd w:id="57"/>
      <w:bookmarkEnd w:id="58"/>
      <w:bookmarkEnd w:id="59"/>
      <w:bookmarkEnd w:id="60"/>
      <w:bookmarkEnd w:id="61"/>
      <w:bookmarkEnd w:id="62"/>
      <w:r>
        <w:rPr>
          <w:rFonts w:hint="eastAsia" w:ascii="黑体" w:hAnsi="黑体" w:eastAsia="黑体" w:cs="黑体"/>
          <w:color w:val="auto"/>
          <w:sz w:val="32"/>
          <w:szCs w:val="32"/>
          <w:highlight w:val="none"/>
        </w:rPr>
        <w:t>公开表</w:t>
      </w:r>
    </w:p>
    <w:p>
      <w:pPr>
        <w:spacing w:line="578" w:lineRule="exact"/>
        <w:ind w:left="1118" w:leftChars="304" w:hanging="480" w:hangingChars="150"/>
        <w:rPr>
          <w:rFonts w:hint="eastAsia" w:ascii="黑体" w:hAnsi="黑体" w:eastAsia="黑体" w:cs="黑体"/>
          <w:color w:val="auto"/>
          <w:sz w:val="32"/>
          <w:szCs w:val="32"/>
          <w:highlight w:val="none"/>
        </w:rPr>
      </w:pPr>
      <w:bookmarkStart w:id="63" w:name="_Toc11799_WPSOffice_Level2"/>
      <w:bookmarkStart w:id="64" w:name="_Toc5594_WPSOffice_Level2"/>
      <w:bookmarkStart w:id="65" w:name="_Toc13345_WPSOffice_Level2"/>
      <w:bookmarkStart w:id="66" w:name="_Toc6020_WPSOffice_Level2"/>
      <w:bookmarkStart w:id="67" w:name="_Toc21310_WPSOffice_Level2"/>
      <w:bookmarkStart w:id="68" w:name="_Toc1533_WPSOffice_Level2"/>
      <w:r>
        <w:rPr>
          <w:rFonts w:hint="eastAsia" w:ascii="黑体" w:hAnsi="黑体" w:eastAsia="黑体" w:cs="黑体"/>
          <w:color w:val="auto"/>
          <w:sz w:val="32"/>
          <w:szCs w:val="32"/>
          <w:highlight w:val="none"/>
        </w:rPr>
        <w:t>七、政府性基金预算财政拨款收入支出决算</w:t>
      </w:r>
      <w:bookmarkEnd w:id="63"/>
      <w:bookmarkEnd w:id="64"/>
      <w:bookmarkEnd w:id="65"/>
      <w:bookmarkEnd w:id="66"/>
      <w:bookmarkEnd w:id="67"/>
      <w:bookmarkEnd w:id="68"/>
      <w:r>
        <w:rPr>
          <w:rFonts w:hint="eastAsia" w:ascii="黑体" w:hAnsi="黑体" w:eastAsia="黑体" w:cs="黑体"/>
          <w:color w:val="auto"/>
          <w:sz w:val="32"/>
          <w:szCs w:val="32"/>
          <w:highlight w:val="none"/>
        </w:rPr>
        <w:t>公开表</w:t>
      </w:r>
    </w:p>
    <w:p>
      <w:pPr>
        <w:spacing w:line="578" w:lineRule="exact"/>
        <w:ind w:left="1118" w:leftChars="304" w:hanging="480" w:hangingChars="15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八、国有资本经营预算财政拨款收入支出决算公开表</w:t>
      </w:r>
    </w:p>
    <w:p>
      <w:pPr>
        <w:spacing w:line="578" w:lineRule="exact"/>
        <w:ind w:firstLine="640"/>
        <w:rPr>
          <w:rFonts w:hint="eastAsia" w:ascii="黑体" w:hAnsi="黑体" w:eastAsia="黑体" w:cs="黑体"/>
          <w:color w:val="auto"/>
          <w:sz w:val="32"/>
          <w:szCs w:val="32"/>
          <w:highlight w:val="none"/>
        </w:rPr>
      </w:pPr>
      <w:bookmarkStart w:id="69" w:name="_Toc29886_WPSOffice_Level2"/>
      <w:bookmarkStart w:id="70" w:name="_Toc9377_WPSOffice_Level2"/>
      <w:bookmarkStart w:id="71" w:name="_Toc1820_WPSOffice_Level2"/>
      <w:bookmarkStart w:id="72" w:name="_Toc19961_WPSOffice_Level2"/>
      <w:r>
        <w:rPr>
          <w:rFonts w:hint="eastAsia" w:ascii="黑体" w:hAnsi="黑体" w:eastAsia="黑体" w:cs="黑体"/>
          <w:color w:val="auto"/>
          <w:sz w:val="32"/>
          <w:szCs w:val="32"/>
          <w:highlight w:val="none"/>
        </w:rPr>
        <w:t>九、财政拨款“三公”经费支出决算</w:t>
      </w:r>
      <w:bookmarkEnd w:id="69"/>
      <w:bookmarkEnd w:id="70"/>
      <w:bookmarkEnd w:id="71"/>
      <w:bookmarkEnd w:id="72"/>
      <w:r>
        <w:rPr>
          <w:rFonts w:hint="eastAsia" w:ascii="黑体" w:hAnsi="黑体" w:eastAsia="黑体" w:cs="黑体"/>
          <w:color w:val="auto"/>
          <w:sz w:val="32"/>
          <w:szCs w:val="32"/>
          <w:highlight w:val="none"/>
        </w:rPr>
        <w:t>公开表</w:t>
      </w:r>
    </w:p>
    <w:p>
      <w:pPr>
        <w:spacing w:line="578" w:lineRule="exact"/>
        <w:ind w:firstLine="640"/>
        <w:rPr>
          <w:rFonts w:hint="eastAsia" w:ascii="仿宋" w:hAnsi="仿宋" w:eastAsia="仿宋" w:cs="仿宋"/>
          <w:color w:val="auto"/>
          <w:w w:val="100"/>
          <w:sz w:val="32"/>
          <w:szCs w:val="32"/>
          <w:highlight w:val="none"/>
        </w:rPr>
      </w:pPr>
      <w:r>
        <w:rPr>
          <w:rFonts w:hint="eastAsia" w:ascii="仿宋" w:hAnsi="仿宋" w:eastAsia="仿宋" w:cs="仿宋"/>
          <w:color w:val="auto"/>
          <w:w w:val="100"/>
          <w:sz w:val="32"/>
          <w:szCs w:val="32"/>
          <w:highlight w:val="none"/>
        </w:rPr>
        <w:t xml:space="preserve">以上报表见附件1。   </w:t>
      </w:r>
    </w:p>
    <w:p>
      <w:pPr>
        <w:spacing w:line="578" w:lineRule="exact"/>
        <w:rPr>
          <w:rFonts w:hint="eastAsia" w:ascii="黑体" w:hAnsi="黑体" w:eastAsia="黑体" w:cs="黑体"/>
          <w:color w:val="auto"/>
          <w:sz w:val="32"/>
          <w:szCs w:val="32"/>
          <w:highlight w:val="none"/>
        </w:rPr>
      </w:pPr>
    </w:p>
    <w:p>
      <w:pPr>
        <w:spacing w:line="578" w:lineRule="exact"/>
        <w:jc w:val="center"/>
        <w:rPr>
          <w:rFonts w:hint="eastAsia" w:ascii="黑体" w:hAnsi="ˎ̥" w:eastAsia="黑体"/>
          <w:color w:val="auto"/>
          <w:sz w:val="32"/>
          <w:szCs w:val="32"/>
          <w:highlight w:val="none"/>
        </w:rPr>
      </w:pPr>
      <w:bookmarkStart w:id="73" w:name="_Toc29683_WPSOffice_Level1"/>
      <w:bookmarkStart w:id="74" w:name="_Toc28629_WPSOffice_Level1"/>
      <w:bookmarkStart w:id="75" w:name="_Toc4402_WPSOffice_Level1"/>
      <w:bookmarkStart w:id="76" w:name="_Toc27590_WPSOffice_Level1"/>
      <w:bookmarkStart w:id="77" w:name="_Toc16686_WPSOffice_Level1"/>
      <w:bookmarkStart w:id="78" w:name="_Toc31264_WPSOffice_Level1"/>
      <w:r>
        <w:rPr>
          <w:rFonts w:hint="eastAsia" w:ascii="黑体" w:hAnsi="ˎ̥" w:eastAsia="黑体"/>
          <w:color w:val="auto"/>
          <w:sz w:val="32"/>
          <w:szCs w:val="32"/>
          <w:highlight w:val="none"/>
        </w:rPr>
        <w:t xml:space="preserve">第三部分  </w:t>
      </w:r>
      <w:r>
        <w:rPr>
          <w:rFonts w:hint="default" w:ascii="黑体" w:hAnsi="ˎ̥" w:eastAsia="黑体"/>
          <w:color w:val="auto"/>
          <w:sz w:val="32"/>
          <w:szCs w:val="32"/>
          <w:highlight w:val="none"/>
          <w:lang w:val="en-US"/>
        </w:rPr>
        <w:t>2024</w:t>
      </w:r>
      <w:r>
        <w:rPr>
          <w:rFonts w:hint="eastAsia" w:ascii="黑体" w:hAnsi="ˎ̥" w:eastAsia="黑体"/>
          <w:color w:val="auto"/>
          <w:sz w:val="32"/>
          <w:szCs w:val="32"/>
          <w:highlight w:val="none"/>
        </w:rPr>
        <w:t>年度部门决算情况说明</w:t>
      </w:r>
      <w:bookmarkEnd w:id="73"/>
      <w:bookmarkEnd w:id="74"/>
      <w:bookmarkEnd w:id="75"/>
      <w:bookmarkEnd w:id="76"/>
      <w:bookmarkEnd w:id="77"/>
      <w:bookmarkEnd w:id="78"/>
    </w:p>
    <w:p>
      <w:pPr>
        <w:spacing w:line="578" w:lineRule="exact"/>
        <w:jc w:val="center"/>
        <w:rPr>
          <w:rFonts w:hint="eastAsia" w:ascii="黑体" w:hAnsi="ˎ̥"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highlight w:val="none"/>
        </w:rPr>
      </w:pPr>
      <w:r>
        <w:rPr>
          <w:rFonts w:hint="eastAsia" w:ascii="黑体" w:hAnsi="黑体" w:eastAsia="黑体" w:cs="黑体"/>
          <w:bCs/>
          <w:color w:val="auto"/>
          <w:sz w:val="32"/>
          <w:szCs w:val="32"/>
          <w:highlight w:val="none"/>
        </w:rPr>
        <w:t>一、收入支出总体情况说明</w:t>
      </w:r>
      <w:r>
        <w:rPr>
          <w:rFonts w:hint="eastAsia" w:ascii="黑体" w:hAnsi="黑体" w:eastAsia="黑体" w:cs="黑体"/>
          <w:bCs/>
          <w:color w:val="auto"/>
          <w:sz w:val="32"/>
          <w:szCs w:val="32"/>
          <w:highlight w:val="none"/>
        </w:rPr>
        <w:br w:type="textWrapping"/>
      </w:r>
      <w:r>
        <w:rPr>
          <w:rFonts w:hint="eastAsia" w:ascii="楷体_GB2312" w:hAnsi="ˎ̥" w:eastAsia="楷体_GB2312"/>
          <w:color w:val="auto"/>
          <w:sz w:val="32"/>
          <w:szCs w:val="32"/>
          <w:highlight w:val="none"/>
        </w:rPr>
        <w:t xml:space="preserve">    </w:t>
      </w: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年度收入总计</w:t>
      </w:r>
      <w:r>
        <w:rPr>
          <w:rFonts w:hint="default" w:ascii="仿宋_GB2312" w:hAnsi="ˎ̥" w:eastAsia="仿宋_GB2312"/>
          <w:color w:val="auto"/>
          <w:sz w:val="32"/>
          <w:szCs w:val="32"/>
          <w:highlight w:val="none"/>
          <w:lang w:val="en-US"/>
        </w:rPr>
        <w:t>51,619.24</w:t>
      </w:r>
      <w:r>
        <w:rPr>
          <w:rFonts w:hint="eastAsia" w:ascii="仿宋_GB2312" w:hAnsi="ˎ̥" w:eastAsia="仿宋_GB2312"/>
          <w:color w:val="auto"/>
          <w:sz w:val="32"/>
          <w:szCs w:val="32"/>
          <w:highlight w:val="none"/>
        </w:rPr>
        <w:t>万元，支出总计</w:t>
      </w:r>
      <w:r>
        <w:rPr>
          <w:rFonts w:hint="default" w:ascii="仿宋_GB2312" w:hAnsi="ˎ̥" w:eastAsia="仿宋_GB2312"/>
          <w:color w:val="auto"/>
          <w:sz w:val="32"/>
          <w:szCs w:val="32"/>
          <w:highlight w:val="none"/>
          <w:lang w:val="en-US"/>
        </w:rPr>
        <w:t>51,619.24</w:t>
      </w:r>
      <w:r>
        <w:rPr>
          <w:rFonts w:hint="eastAsia" w:ascii="仿宋_GB2312" w:hAnsi="ˎ̥" w:eastAsia="仿宋_GB2312"/>
          <w:color w:val="auto"/>
          <w:sz w:val="32"/>
          <w:szCs w:val="32"/>
          <w:highlight w:val="none"/>
        </w:rPr>
        <w:t>万元，与</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年度相比，收入、支出总计各增加</w:t>
      </w:r>
      <w:r>
        <w:rPr>
          <w:rFonts w:hint="eastAsia" w:ascii="仿宋_GB2312" w:hAnsi="ˎ̥" w:eastAsia="仿宋_GB2312"/>
          <w:color w:val="auto"/>
          <w:sz w:val="32"/>
          <w:szCs w:val="32"/>
          <w:highlight w:val="none"/>
          <w:lang w:val="en-US" w:eastAsia="zh-CN"/>
        </w:rPr>
        <w:t>4,368.83</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9.2</w:t>
      </w:r>
      <w:r>
        <w:rPr>
          <w:rFonts w:hint="eastAsia" w:ascii="仿宋_GB2312" w:hAnsi="ˎ̥" w:eastAsia="仿宋_GB2312"/>
          <w:color w:val="auto"/>
          <w:sz w:val="32"/>
          <w:szCs w:val="32"/>
          <w:highlight w:val="none"/>
        </w:rPr>
        <w:t>%。主要原因：一是平台建设</w:t>
      </w:r>
      <w:r>
        <w:rPr>
          <w:rFonts w:hint="eastAsia" w:ascii="仿宋_GB2312" w:hAnsi="ˎ̥" w:eastAsia="仿宋_GB2312"/>
          <w:color w:val="auto"/>
          <w:sz w:val="32"/>
          <w:szCs w:val="32"/>
          <w:highlight w:val="none"/>
          <w:lang w:val="en-US" w:eastAsia="zh-CN"/>
        </w:rPr>
        <w:t>,实验室拥有精准育种技术中心、国家野生稻资源圃、冯家湾设施渔业中试研究基地、基因组测序平台及遗传转化平台等研究设施。这些平台的建设、折旧、运维和升级构成了实验室支出的重要组成部分。与此同时，这些独一无二的硬件资源也成为吸引外部合作、承担重大项目的“硬实力”</w:t>
      </w:r>
      <w:r>
        <w:rPr>
          <w:rFonts w:hint="eastAsia" w:ascii="仿宋_GB2312" w:hAnsi="ˎ̥" w:eastAsia="仿宋_GB2312"/>
          <w:color w:val="auto"/>
          <w:sz w:val="32"/>
          <w:szCs w:val="32"/>
          <w:highlight w:val="none"/>
        </w:rPr>
        <w:t>；二是人才队伍建设</w:t>
      </w:r>
      <w:r>
        <w:rPr>
          <w:rFonts w:hint="eastAsia" w:ascii="仿宋_GB2312" w:hAnsi="ˎ̥" w:eastAsia="仿宋_GB2312"/>
          <w:color w:val="auto"/>
          <w:sz w:val="32"/>
          <w:szCs w:val="32"/>
          <w:highlight w:val="none"/>
          <w:lang w:eastAsia="zh-CN"/>
        </w:rPr>
        <w:t>，打造5大科研方向，目前已引进8个院士团队和2个重点团队。这些顶尖团队极大提升了实验室的学术声誉和创新能级，使其在申报经费、争取项目、攻克技术难题方面具备了核心竞争力；</w:t>
      </w:r>
      <w:r>
        <w:rPr>
          <w:rFonts w:hint="eastAsia" w:ascii="仿宋_GB2312" w:hAnsi="ˎ̥" w:eastAsia="仿宋_GB2312"/>
          <w:color w:val="auto"/>
          <w:sz w:val="32"/>
          <w:szCs w:val="32"/>
          <w:highlight w:val="none"/>
          <w:lang w:val="en-US" w:eastAsia="zh-CN"/>
        </w:rPr>
        <w:t>三是实验室通过科研机制创新，通过“自主部署”、“揭榜挂帅”、“成果转化”等多种项目模式解决种业关键共性技术创新和成果转化的问题</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w:t>
      </w:r>
      <w:r>
        <w:rPr>
          <w:rFonts w:ascii="楷体" w:hAnsi="楷体" w:eastAsia="楷体" w:cs="楷体"/>
          <w:color w:val="auto"/>
          <w:sz w:val="32"/>
          <w:szCs w:val="32"/>
          <w:highlight w:val="none"/>
        </w:rPr>
        <w:t>）</w:t>
      </w:r>
      <w:r>
        <w:rPr>
          <w:rFonts w:hint="eastAsia" w:ascii="楷体" w:hAnsi="楷体" w:eastAsia="楷体" w:cs="楷体"/>
          <w:color w:val="auto"/>
          <w:sz w:val="32"/>
          <w:szCs w:val="32"/>
          <w:highlight w:val="none"/>
        </w:rPr>
        <w:t>收入</w:t>
      </w:r>
      <w:r>
        <w:rPr>
          <w:rFonts w:ascii="楷体" w:hAnsi="楷体" w:eastAsia="楷体" w:cs="楷体"/>
          <w:color w:val="auto"/>
          <w:sz w:val="32"/>
          <w:szCs w:val="32"/>
          <w:highlight w:val="none"/>
        </w:rPr>
        <w:t>总计</w:t>
      </w:r>
      <w:r>
        <w:rPr>
          <w:rFonts w:hint="eastAsia" w:ascii="楷体" w:hAnsi="楷体" w:eastAsia="楷体" w:cs="楷体"/>
          <w:color w:val="auto"/>
          <w:sz w:val="32"/>
          <w:szCs w:val="32"/>
          <w:highlight w:val="none"/>
        </w:rPr>
        <w:t>主要</w:t>
      </w:r>
      <w:r>
        <w:rPr>
          <w:rFonts w:ascii="楷体" w:hAnsi="楷体" w:eastAsia="楷体" w:cs="楷体"/>
          <w:color w:val="auto"/>
          <w:sz w:val="32"/>
          <w:szCs w:val="32"/>
          <w:highlight w:val="none"/>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highlight w:val="none"/>
        </w:rPr>
      </w:pPr>
      <w:r>
        <w:rPr>
          <w:rFonts w:hint="eastAsia" w:ascii="仿宋_GB2312" w:hAnsi="ˎ̥" w:eastAsia="仿宋_GB2312"/>
          <w:color w:val="auto"/>
          <w:sz w:val="32"/>
          <w:szCs w:val="32"/>
          <w:highlight w:val="none"/>
        </w:rPr>
        <w:t>本年</w:t>
      </w:r>
      <w:r>
        <w:rPr>
          <w:rFonts w:ascii="仿宋_GB2312" w:hAnsi="ˎ̥" w:eastAsia="仿宋_GB2312"/>
          <w:color w:val="auto"/>
          <w:sz w:val="32"/>
          <w:szCs w:val="32"/>
          <w:highlight w:val="none"/>
        </w:rPr>
        <w:t>收入</w:t>
      </w:r>
      <w:r>
        <w:rPr>
          <w:rFonts w:hint="default" w:ascii="仿宋_GB2312" w:hAnsi="ˎ̥" w:eastAsia="仿宋_GB2312"/>
          <w:color w:val="auto"/>
          <w:sz w:val="32"/>
          <w:szCs w:val="32"/>
          <w:highlight w:val="none"/>
          <w:lang w:val="en-US"/>
        </w:rPr>
        <w:t>18,015.08</w:t>
      </w:r>
      <w:r>
        <w:rPr>
          <w:rFonts w:hint="eastAsia" w:ascii="仿宋_GB2312" w:hAnsi="ˎ̥" w:eastAsia="仿宋_GB2312"/>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highlight w:val="none"/>
        </w:rPr>
      </w:pPr>
      <w:r>
        <w:rPr>
          <w:rFonts w:hint="eastAsia" w:ascii="仿宋_GB2312" w:hAnsi="ˎ̥" w:eastAsia="仿宋_GB2312"/>
          <w:color w:val="auto"/>
          <w:sz w:val="32"/>
          <w:szCs w:val="32"/>
          <w:highlight w:val="none"/>
        </w:rPr>
        <w:t>使用非财政拨款结余</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万元，较</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年度决算数减少</w:t>
      </w:r>
      <w:r>
        <w:rPr>
          <w:rFonts w:hint="eastAsia" w:ascii="仿宋_GB2312" w:hAnsi="ˎ̥" w:eastAsia="仿宋_GB2312"/>
          <w:color w:val="auto"/>
          <w:sz w:val="32"/>
          <w:szCs w:val="32"/>
          <w:highlight w:val="none"/>
          <w:lang w:val="en-US" w:eastAsia="zh-CN"/>
        </w:rPr>
        <w:t>2,971.96</w:t>
      </w:r>
      <w:r>
        <w:rPr>
          <w:rFonts w:hint="eastAsia" w:ascii="仿宋_GB2312" w:hAnsi="ˎ̥" w:eastAsia="仿宋_GB2312"/>
          <w:color w:val="auto"/>
          <w:sz w:val="32"/>
          <w:szCs w:val="32"/>
          <w:highlight w:val="none"/>
        </w:rPr>
        <w:t>万元，主要原因是</w:t>
      </w:r>
      <w:r>
        <w:rPr>
          <w:rFonts w:hint="eastAsia" w:ascii="仿宋_GB2312" w:hAnsi="ˎ̥" w:eastAsia="仿宋_GB2312"/>
          <w:color w:val="auto"/>
          <w:sz w:val="32"/>
          <w:szCs w:val="32"/>
          <w:highlight w:val="none"/>
          <w:lang w:val="en-US" w:eastAsia="zh-CN"/>
        </w:rPr>
        <w:t>事业收入减少</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仿宋_GB2312" w:hAnsi="ˎ̥" w:eastAsia="仿宋_GB2312"/>
          <w:color w:val="auto"/>
          <w:sz w:val="32"/>
          <w:szCs w:val="32"/>
          <w:highlight w:val="none"/>
        </w:rPr>
      </w:pPr>
      <w:r>
        <w:rPr>
          <w:rFonts w:hint="eastAsia" w:ascii="仿宋_GB2312" w:hAnsi="ˎ̥" w:eastAsia="仿宋_GB2312"/>
          <w:color w:val="auto"/>
          <w:sz w:val="32"/>
          <w:szCs w:val="32"/>
          <w:highlight w:val="none"/>
        </w:rPr>
        <w:t>年初结转结余</w:t>
      </w:r>
      <w:r>
        <w:rPr>
          <w:rFonts w:hint="default" w:ascii="仿宋_GB2312" w:hAnsi="ˎ̥" w:eastAsia="仿宋_GB2312"/>
          <w:color w:val="auto"/>
          <w:sz w:val="32"/>
          <w:szCs w:val="32"/>
          <w:highlight w:val="none"/>
          <w:lang w:val="en-US"/>
        </w:rPr>
        <w:t>33,604.17</w:t>
      </w:r>
      <w:r>
        <w:rPr>
          <w:rFonts w:hint="eastAsia" w:ascii="仿宋_GB2312" w:hAnsi="ˎ̥" w:eastAsia="仿宋_GB2312"/>
          <w:color w:val="auto"/>
          <w:sz w:val="32"/>
          <w:szCs w:val="32"/>
          <w:highlight w:val="none"/>
        </w:rPr>
        <w:t>万元，主要是</w:t>
      </w:r>
      <w:r>
        <w:rPr>
          <w:rFonts w:hint="eastAsia" w:ascii="仿宋_GB2312" w:hAnsi="ˎ̥" w:eastAsia="仿宋_GB2312"/>
          <w:color w:val="auto"/>
          <w:sz w:val="32"/>
          <w:szCs w:val="32"/>
          <w:highlight w:val="none"/>
          <w:lang w:val="en-US" w:eastAsia="zh-CN"/>
        </w:rPr>
        <w:t>业务单位往来项目资金</w:t>
      </w:r>
      <w:r>
        <w:rPr>
          <w:rFonts w:hint="eastAsia" w:ascii="仿宋_GB2312" w:hAnsi="ˎ̥" w:eastAsia="仿宋_GB2312"/>
          <w:color w:val="auto"/>
          <w:sz w:val="32"/>
          <w:szCs w:val="32"/>
          <w:highlight w:val="none"/>
        </w:rPr>
        <w:t>，较</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年度决算数增加</w:t>
      </w:r>
      <w:r>
        <w:rPr>
          <w:rFonts w:hint="eastAsia" w:ascii="仿宋_GB2312" w:hAnsi="ˎ̥" w:eastAsia="仿宋_GB2312"/>
          <w:color w:val="auto"/>
          <w:sz w:val="32"/>
          <w:szCs w:val="32"/>
          <w:highlight w:val="none"/>
          <w:lang w:val="en-US" w:eastAsia="zh-CN"/>
        </w:rPr>
        <w:t>7,340.8</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27.95</w:t>
      </w:r>
      <w:r>
        <w:rPr>
          <w:rFonts w:hint="eastAsia" w:ascii="仿宋_GB2312" w:hAnsi="ˎ̥" w:eastAsia="仿宋_GB2312"/>
          <w:color w:val="auto"/>
          <w:sz w:val="32"/>
          <w:szCs w:val="32"/>
          <w:highlight w:val="none"/>
        </w:rPr>
        <w:t>%，主要原因是科研项目执行进度延后和支付周期延长。</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rPr>
        <w:t>（二</w:t>
      </w:r>
      <w:r>
        <w:rPr>
          <w:rFonts w:ascii="楷体" w:hAnsi="楷体" w:eastAsia="楷体" w:cs="楷体"/>
          <w:color w:val="auto"/>
          <w:sz w:val="32"/>
          <w:szCs w:val="32"/>
          <w:highlight w:val="none"/>
        </w:rPr>
        <w:t>）</w:t>
      </w:r>
      <w:r>
        <w:rPr>
          <w:rFonts w:hint="eastAsia" w:ascii="楷体" w:hAnsi="楷体" w:eastAsia="楷体" w:cs="楷体"/>
          <w:color w:val="auto"/>
          <w:sz w:val="32"/>
          <w:szCs w:val="32"/>
          <w:highlight w:val="none"/>
        </w:rPr>
        <w:t>支出</w:t>
      </w:r>
      <w:r>
        <w:rPr>
          <w:rFonts w:ascii="楷体" w:hAnsi="楷体" w:eastAsia="楷体" w:cs="楷体"/>
          <w:color w:val="auto"/>
          <w:sz w:val="32"/>
          <w:szCs w:val="32"/>
          <w:highlight w:val="none"/>
        </w:rPr>
        <w:t>总计</w:t>
      </w:r>
      <w:r>
        <w:rPr>
          <w:rFonts w:hint="eastAsia" w:ascii="楷体" w:hAnsi="楷体" w:eastAsia="楷体" w:cs="楷体"/>
          <w:color w:val="auto"/>
          <w:sz w:val="32"/>
          <w:szCs w:val="32"/>
          <w:highlight w:val="none"/>
        </w:rPr>
        <w:t>主要</w:t>
      </w:r>
      <w:r>
        <w:rPr>
          <w:rFonts w:ascii="楷体" w:hAnsi="楷体" w:eastAsia="楷体" w:cs="楷体"/>
          <w:color w:val="auto"/>
          <w:sz w:val="32"/>
          <w:szCs w:val="32"/>
          <w:highlight w:val="none"/>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本年支出</w:t>
      </w:r>
      <w:r>
        <w:rPr>
          <w:rFonts w:hint="default" w:ascii="仿宋_GB2312" w:hAnsi="ˎ̥" w:eastAsia="仿宋_GB2312"/>
          <w:color w:val="auto"/>
          <w:sz w:val="32"/>
          <w:szCs w:val="32"/>
          <w:highlight w:val="none"/>
          <w:lang w:val="en-US"/>
        </w:rPr>
        <w:t>13,786.23</w:t>
      </w:r>
      <w:r>
        <w:rPr>
          <w:rFonts w:hint="eastAsia" w:ascii="仿宋_GB2312" w:hAnsi="ˎ̥" w:eastAsia="仿宋_GB2312"/>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结余分配</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万元，主要是</w:t>
      </w:r>
      <w:r>
        <w:rPr>
          <w:rFonts w:hint="eastAsia" w:ascii="仿宋_GB2312" w:hAnsi="ˎ̥" w:eastAsia="仿宋_GB2312"/>
          <w:color w:val="auto"/>
          <w:sz w:val="32"/>
          <w:szCs w:val="32"/>
          <w:highlight w:val="none"/>
          <w:lang w:val="en-US" w:eastAsia="zh-CN"/>
        </w:rPr>
        <w:t>项目支出</w:t>
      </w:r>
      <w:r>
        <w:rPr>
          <w:rFonts w:hint="eastAsia" w:ascii="仿宋_GB2312" w:hAnsi="ˎ̥" w:eastAsia="仿宋_GB2312"/>
          <w:color w:val="auto"/>
          <w:sz w:val="32"/>
          <w:szCs w:val="32"/>
          <w:highlight w:val="none"/>
        </w:rPr>
        <w:t>，较</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年度决算数增加</w:t>
      </w:r>
      <w:r>
        <w:rPr>
          <w:rFonts w:hint="eastAsia" w:ascii="仿宋_GB2312" w:hAnsi="ˎ̥" w:eastAsia="仿宋_GB2312"/>
          <w:color w:val="auto"/>
          <w:sz w:val="32"/>
          <w:szCs w:val="32"/>
          <w:highlight w:val="none"/>
          <w:lang w:val="en-US" w:eastAsia="zh-CN"/>
        </w:rPr>
        <w:t>248.68</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1.84</w:t>
      </w:r>
      <w:r>
        <w:rPr>
          <w:rFonts w:hint="eastAsia" w:ascii="仿宋_GB2312" w:hAnsi="ˎ̥" w:eastAsia="仿宋_GB2312"/>
          <w:color w:val="auto"/>
          <w:sz w:val="32"/>
          <w:szCs w:val="32"/>
          <w:highlight w:val="none"/>
        </w:rPr>
        <w:t>%，主要原因是本年度新增多项重大科研项目，同时部分跨年度项目进入关键实施阶段，设备采购、材料费及人力成本等支出相应增加，保障了科研任务的顺利推进。</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年末结转结余</w:t>
      </w:r>
      <w:r>
        <w:rPr>
          <w:rFonts w:hint="default" w:ascii="仿宋_GB2312" w:hAnsi="ˎ̥" w:eastAsia="仿宋_GB2312"/>
          <w:color w:val="auto"/>
          <w:sz w:val="32"/>
          <w:szCs w:val="32"/>
          <w:highlight w:val="none"/>
          <w:lang w:val="en-US"/>
        </w:rPr>
        <w:t>37,833.01</w:t>
      </w:r>
      <w:r>
        <w:rPr>
          <w:rFonts w:hint="eastAsia" w:ascii="仿宋_GB2312" w:hAnsi="ˎ̥" w:eastAsia="仿宋_GB2312"/>
          <w:color w:val="auto"/>
          <w:sz w:val="32"/>
          <w:szCs w:val="32"/>
          <w:highlight w:val="none"/>
        </w:rPr>
        <w:t>万元，主要是</w:t>
      </w:r>
      <w:r>
        <w:rPr>
          <w:rFonts w:hint="eastAsia" w:ascii="仿宋_GB2312" w:hAnsi="ˎ̥" w:eastAsia="仿宋_GB2312"/>
          <w:color w:val="auto"/>
          <w:sz w:val="32"/>
          <w:szCs w:val="32"/>
          <w:highlight w:val="none"/>
          <w:lang w:val="en-US" w:eastAsia="zh-CN"/>
        </w:rPr>
        <w:t>陆海空专项资金项目、崖州湾科技城科研补贴项目、国家自然基金项目等</w:t>
      </w:r>
      <w:r>
        <w:rPr>
          <w:rFonts w:hint="eastAsia" w:ascii="仿宋_GB2312" w:hAnsi="ˎ̥" w:eastAsia="仿宋_GB2312"/>
          <w:color w:val="auto"/>
          <w:sz w:val="32"/>
          <w:szCs w:val="32"/>
          <w:highlight w:val="none"/>
        </w:rPr>
        <w:t>，较</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年度决算数增加</w:t>
      </w:r>
      <w:r>
        <w:rPr>
          <w:rFonts w:hint="eastAsia" w:ascii="仿宋_GB2312" w:hAnsi="ˎ̥" w:eastAsia="仿宋_GB2312"/>
          <w:color w:val="auto"/>
          <w:sz w:val="32"/>
          <w:szCs w:val="32"/>
          <w:highlight w:val="none"/>
          <w:lang w:val="en-US" w:eastAsia="zh-CN"/>
        </w:rPr>
        <w:t>4,120.15</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12.22</w:t>
      </w:r>
      <w:r>
        <w:rPr>
          <w:rFonts w:hint="eastAsia" w:ascii="仿宋_GB2312" w:hAnsi="ˎ̥" w:eastAsia="仿宋_GB2312"/>
          <w:color w:val="auto"/>
          <w:sz w:val="32"/>
          <w:szCs w:val="32"/>
          <w:highlight w:val="none"/>
        </w:rPr>
        <w:t>%，主要原因是部分重大科研项目及基地建设任务依据合同约定及项目实际进展实行分期拨款支付，致使</w:t>
      </w:r>
      <w:r>
        <w:rPr>
          <w:rFonts w:hint="eastAsia" w:ascii="仿宋_GB2312" w:hAnsi="ˎ̥" w:eastAsia="仿宋_GB2312"/>
          <w:color w:val="auto"/>
          <w:sz w:val="32"/>
          <w:szCs w:val="32"/>
          <w:highlight w:val="none"/>
          <w:lang w:val="en-US" w:eastAsia="zh-CN"/>
        </w:rPr>
        <w:t>部分</w:t>
      </w:r>
      <w:r>
        <w:rPr>
          <w:rFonts w:hint="eastAsia" w:ascii="仿宋_GB2312" w:hAnsi="ˎ̥" w:eastAsia="仿宋_GB2312"/>
          <w:color w:val="auto"/>
          <w:sz w:val="32"/>
          <w:szCs w:val="32"/>
          <w:highlight w:val="none"/>
        </w:rPr>
        <w:t>资金结转至下年度继续按规定用途使用。</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rPr>
          <w:rFonts w:hint="eastAsia" w:ascii="仿宋_GB2312" w:hAnsi="ˎ̥" w:eastAsia="仿宋_GB2312"/>
          <w:color w:val="auto"/>
          <w:sz w:val="32"/>
          <w:szCs w:val="32"/>
          <w:highlight w:val="none"/>
        </w:rPr>
      </w:pPr>
      <w:r>
        <w:rPr>
          <w:rFonts w:hint="eastAsia" w:ascii="黑体" w:hAnsi="黑体" w:eastAsia="黑体" w:cs="黑体"/>
          <w:bCs/>
          <w:color w:val="auto"/>
          <w:sz w:val="32"/>
          <w:szCs w:val="32"/>
          <w:highlight w:val="none"/>
        </w:rPr>
        <w:t>二、收入决算情况说明</w:t>
      </w:r>
      <w:r>
        <w:rPr>
          <w:rFonts w:hint="eastAsia" w:ascii="黑体" w:hAnsi="黑体" w:eastAsia="黑体" w:cs="黑体"/>
          <w:bCs/>
          <w:color w:val="auto"/>
          <w:sz w:val="32"/>
          <w:szCs w:val="32"/>
          <w:highlight w:val="none"/>
        </w:rPr>
        <w:br w:type="textWrapping"/>
      </w:r>
      <w:r>
        <w:rPr>
          <w:rFonts w:hint="eastAsia" w:ascii="仿宋_GB2312" w:hAnsi="ˎ̥" w:eastAsia="仿宋_GB2312"/>
          <w:color w:val="auto"/>
          <w:sz w:val="32"/>
          <w:szCs w:val="32"/>
          <w:highlight w:val="none"/>
        </w:rPr>
        <w:t xml:space="preserve">    本年收入</w:t>
      </w:r>
      <w:r>
        <w:rPr>
          <w:rFonts w:hint="default" w:ascii="仿宋_GB2312" w:hAnsi="ˎ̥" w:eastAsia="仿宋_GB2312"/>
          <w:color w:val="auto"/>
          <w:sz w:val="32"/>
          <w:szCs w:val="32"/>
          <w:highlight w:val="none"/>
          <w:lang w:val="en-US"/>
        </w:rPr>
        <w:t>18,015.08</w:t>
      </w:r>
      <w:r>
        <w:rPr>
          <w:rFonts w:hint="eastAsia" w:ascii="仿宋_GB2312" w:hAnsi="ˎ̥" w:eastAsia="仿宋_GB2312"/>
          <w:color w:val="auto"/>
          <w:sz w:val="32"/>
          <w:szCs w:val="32"/>
          <w:highlight w:val="none"/>
        </w:rPr>
        <w:t>万元，其中：财政拨款收入</w:t>
      </w:r>
      <w:r>
        <w:rPr>
          <w:rFonts w:hint="default" w:ascii="仿宋_GB2312" w:hAnsi="ˎ̥" w:eastAsia="仿宋_GB2312"/>
          <w:color w:val="auto"/>
          <w:sz w:val="32"/>
          <w:szCs w:val="32"/>
          <w:highlight w:val="none"/>
          <w:lang w:val="en-US"/>
        </w:rPr>
        <w:t>13,447.60</w:t>
      </w:r>
      <w:r>
        <w:rPr>
          <w:rFonts w:hint="eastAsia" w:ascii="仿宋_GB2312" w:hAnsi="ˎ̥" w:eastAsia="仿宋_GB2312"/>
          <w:color w:val="auto"/>
          <w:sz w:val="32"/>
          <w:szCs w:val="32"/>
          <w:highlight w:val="none"/>
        </w:rPr>
        <w:t>万元，占</w:t>
      </w:r>
      <w:r>
        <w:rPr>
          <w:rFonts w:hint="default" w:ascii="仿宋_GB2312" w:hAnsi="ˎ̥" w:eastAsia="仿宋_GB2312"/>
          <w:color w:val="auto"/>
          <w:sz w:val="32"/>
          <w:szCs w:val="32"/>
          <w:highlight w:val="none"/>
          <w:lang w:val="en-US"/>
        </w:rPr>
        <w:t>74.65</w:t>
      </w:r>
      <w:r>
        <w:rPr>
          <w:rFonts w:hint="eastAsia" w:ascii="仿宋_GB2312" w:hAnsi="ˎ̥" w:eastAsia="仿宋_GB2312"/>
          <w:color w:val="auto"/>
          <w:sz w:val="32"/>
          <w:szCs w:val="32"/>
          <w:highlight w:val="none"/>
        </w:rPr>
        <w:t>%；上级补助收入</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%；事业收入</w:t>
      </w:r>
      <w:r>
        <w:rPr>
          <w:rFonts w:hint="default" w:ascii="仿宋_GB2312" w:hAnsi="ˎ̥" w:eastAsia="仿宋_GB2312"/>
          <w:color w:val="auto"/>
          <w:sz w:val="32"/>
          <w:szCs w:val="32"/>
          <w:highlight w:val="none"/>
          <w:lang w:val="en-US"/>
        </w:rPr>
        <w:t>3,986.83</w:t>
      </w:r>
      <w:r>
        <w:rPr>
          <w:rFonts w:hint="eastAsia" w:ascii="仿宋_GB2312" w:hAnsi="ˎ̥" w:eastAsia="仿宋_GB2312"/>
          <w:color w:val="auto"/>
          <w:sz w:val="32"/>
          <w:szCs w:val="32"/>
          <w:highlight w:val="none"/>
        </w:rPr>
        <w:t>万元，占</w:t>
      </w:r>
      <w:r>
        <w:rPr>
          <w:rFonts w:hint="default" w:ascii="仿宋_GB2312" w:hAnsi="ˎ̥" w:eastAsia="仿宋_GB2312"/>
          <w:color w:val="auto"/>
          <w:sz w:val="32"/>
          <w:szCs w:val="32"/>
          <w:highlight w:val="none"/>
          <w:lang w:val="en-US"/>
        </w:rPr>
        <w:t>22.13</w:t>
      </w:r>
      <w:r>
        <w:rPr>
          <w:rFonts w:hint="eastAsia" w:ascii="仿宋_GB2312" w:hAnsi="ˎ̥" w:eastAsia="仿宋_GB2312"/>
          <w:color w:val="auto"/>
          <w:sz w:val="32"/>
          <w:szCs w:val="32"/>
          <w:highlight w:val="none"/>
        </w:rPr>
        <w:t>%；经营收入</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%；附属单位上缴收入</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%；其他收入</w:t>
      </w:r>
      <w:r>
        <w:rPr>
          <w:rFonts w:hint="default" w:ascii="仿宋_GB2312" w:hAnsi="ˎ̥" w:eastAsia="仿宋_GB2312"/>
          <w:color w:val="auto"/>
          <w:sz w:val="32"/>
          <w:szCs w:val="32"/>
          <w:highlight w:val="none"/>
          <w:lang w:val="en-US"/>
        </w:rPr>
        <w:t>580.65</w:t>
      </w:r>
      <w:r>
        <w:rPr>
          <w:rFonts w:hint="eastAsia" w:ascii="仿宋_GB2312" w:hAnsi="ˎ̥" w:eastAsia="仿宋_GB2312"/>
          <w:color w:val="auto"/>
          <w:sz w:val="32"/>
          <w:szCs w:val="32"/>
          <w:highlight w:val="none"/>
        </w:rPr>
        <w:t>万元，占3.22%。</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本年支出</w:t>
      </w:r>
      <w:r>
        <w:rPr>
          <w:rFonts w:hint="default" w:ascii="仿宋_GB2312" w:hAnsi="ˎ̥" w:eastAsia="仿宋_GB2312"/>
          <w:color w:val="auto"/>
          <w:sz w:val="32"/>
          <w:szCs w:val="32"/>
          <w:highlight w:val="none"/>
          <w:lang w:val="en-US"/>
        </w:rPr>
        <w:t>13,786.23</w:t>
      </w:r>
      <w:r>
        <w:rPr>
          <w:rFonts w:hint="eastAsia" w:ascii="仿宋_GB2312" w:hAnsi="ˎ̥" w:eastAsia="仿宋_GB2312"/>
          <w:color w:val="auto"/>
          <w:sz w:val="32"/>
          <w:szCs w:val="32"/>
          <w:highlight w:val="none"/>
        </w:rPr>
        <w:t>万元，其中：基本支出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%；项目支出</w:t>
      </w:r>
      <w:r>
        <w:rPr>
          <w:rFonts w:hint="default" w:ascii="仿宋_GB2312" w:hAnsi="ˎ̥" w:eastAsia="仿宋_GB2312"/>
          <w:color w:val="auto"/>
          <w:sz w:val="32"/>
          <w:szCs w:val="32"/>
          <w:highlight w:val="none"/>
          <w:lang w:val="en-US"/>
        </w:rPr>
        <w:t>13,786.23</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100</w:t>
      </w:r>
      <w:r>
        <w:rPr>
          <w:rFonts w:hint="eastAsia" w:ascii="仿宋_GB2312" w:hAnsi="ˎ̥" w:eastAsia="仿宋_GB2312"/>
          <w:color w:val="auto"/>
          <w:sz w:val="32"/>
          <w:szCs w:val="32"/>
          <w:highlight w:val="none"/>
        </w:rPr>
        <w:t>%；上缴上级支出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%；经营支出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%；对附属单位补助支出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年度财政拨款收入</w:t>
      </w:r>
      <w:r>
        <w:rPr>
          <w:rFonts w:hint="default" w:ascii="仿宋_GB2312" w:hAnsi="ˎ̥" w:eastAsia="仿宋_GB2312"/>
          <w:color w:val="auto"/>
          <w:sz w:val="32"/>
          <w:szCs w:val="32"/>
          <w:highlight w:val="none"/>
          <w:lang w:val="en-US"/>
        </w:rPr>
        <w:t>13,447.60</w:t>
      </w:r>
      <w:r>
        <w:rPr>
          <w:rFonts w:hint="eastAsia" w:ascii="仿宋_GB2312" w:hAnsi="ˎ̥" w:eastAsia="仿宋_GB2312"/>
          <w:color w:val="auto"/>
          <w:sz w:val="32"/>
          <w:szCs w:val="32"/>
          <w:highlight w:val="none"/>
        </w:rPr>
        <w:t>万元，支出</w:t>
      </w:r>
      <w:r>
        <w:rPr>
          <w:rFonts w:hint="default" w:ascii="仿宋_GB2312" w:hAnsi="ˎ̥" w:eastAsia="仿宋_GB2312"/>
          <w:color w:val="auto"/>
          <w:sz w:val="32"/>
          <w:szCs w:val="32"/>
          <w:highlight w:val="none"/>
          <w:lang w:val="en-US"/>
        </w:rPr>
        <w:t>9,946.96</w:t>
      </w:r>
      <w:r>
        <w:rPr>
          <w:rFonts w:hint="eastAsia" w:ascii="仿宋_GB2312" w:hAnsi="ˎ̥" w:eastAsia="仿宋_GB2312"/>
          <w:color w:val="auto"/>
          <w:sz w:val="32"/>
          <w:szCs w:val="32"/>
          <w:highlight w:val="none"/>
        </w:rPr>
        <w:t>万元。与</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年度相比，财政拨款收入增加</w:t>
      </w:r>
      <w:r>
        <w:rPr>
          <w:rFonts w:hint="eastAsia" w:ascii="仿宋_GB2312" w:hAnsi="ˎ̥" w:eastAsia="仿宋_GB2312"/>
          <w:color w:val="auto"/>
          <w:sz w:val="32"/>
          <w:szCs w:val="32"/>
          <w:highlight w:val="none"/>
          <w:lang w:val="en-US" w:eastAsia="zh-CN"/>
        </w:rPr>
        <w:t>943.6</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7.55</w:t>
      </w:r>
      <w:r>
        <w:rPr>
          <w:rFonts w:hint="eastAsia" w:ascii="仿宋_GB2312" w:hAnsi="ˎ̥" w:eastAsia="仿宋_GB2312"/>
          <w:color w:val="auto"/>
          <w:sz w:val="32"/>
          <w:szCs w:val="32"/>
          <w:highlight w:val="none"/>
        </w:rPr>
        <w:t>%，主要原因：中央引导地方科技发展资金投入增加。支出增加</w:t>
      </w:r>
      <w:r>
        <w:rPr>
          <w:rFonts w:hint="eastAsia" w:ascii="仿宋_GB2312" w:hAnsi="ˎ̥" w:eastAsia="仿宋_GB2312"/>
          <w:color w:val="auto"/>
          <w:sz w:val="32"/>
          <w:szCs w:val="32"/>
          <w:highlight w:val="none"/>
          <w:lang w:val="en-US" w:eastAsia="zh-CN"/>
        </w:rPr>
        <w:t>3747.49</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60.45</w:t>
      </w:r>
      <w:r>
        <w:rPr>
          <w:rFonts w:hint="eastAsia" w:ascii="仿宋_GB2312" w:hAnsi="ˎ̥" w:eastAsia="仿宋_GB2312"/>
          <w:color w:val="auto"/>
          <w:sz w:val="32"/>
          <w:szCs w:val="32"/>
          <w:highlight w:val="none"/>
        </w:rPr>
        <w:t>%，主要原因：一是重大科研项目</w:t>
      </w:r>
      <w:r>
        <w:rPr>
          <w:rFonts w:hint="eastAsia" w:ascii="仿宋_GB2312" w:hAnsi="ˎ̥" w:eastAsia="仿宋_GB2312"/>
          <w:color w:val="auto"/>
          <w:sz w:val="32"/>
          <w:szCs w:val="32"/>
          <w:highlight w:val="none"/>
          <w:lang w:val="en-US" w:eastAsia="zh-CN"/>
        </w:rPr>
        <w:t>业务、</w:t>
      </w:r>
      <w:r>
        <w:rPr>
          <w:rFonts w:hint="eastAsia" w:ascii="仿宋_GB2312" w:hAnsi="ˎ̥" w:eastAsia="仿宋_GB2312"/>
          <w:color w:val="auto"/>
          <w:sz w:val="32"/>
          <w:szCs w:val="32"/>
          <w:highlight w:val="none"/>
        </w:rPr>
        <w:t>设备采购及基地建设投入加大；二是科研人才引进与团队建设经费支出增长。</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财政拨款年初结转结余</w:t>
      </w:r>
      <w:r>
        <w:rPr>
          <w:rFonts w:hint="default" w:ascii="仿宋_GB2312" w:hAnsi="ˎ̥" w:eastAsia="仿宋_GB2312"/>
          <w:color w:val="auto"/>
          <w:sz w:val="32"/>
          <w:szCs w:val="32"/>
          <w:highlight w:val="none"/>
          <w:lang w:val="en-US"/>
        </w:rPr>
        <w:t>18,186.75</w:t>
      </w:r>
      <w:r>
        <w:rPr>
          <w:rFonts w:hint="eastAsia" w:ascii="仿宋_GB2312" w:hAnsi="ˎ̥" w:eastAsia="仿宋_GB2312"/>
          <w:color w:val="auto"/>
          <w:sz w:val="32"/>
          <w:szCs w:val="32"/>
          <w:highlight w:val="none"/>
        </w:rPr>
        <w:t>万元，主要是跨年度实施的科研项目资金及尚未完成的基地建设专项经费</w:t>
      </w:r>
      <w:r>
        <w:rPr>
          <w:rFonts w:hint="eastAsia" w:ascii="仿宋_GB2312" w:hAnsi="ˎ̥" w:eastAsia="仿宋_GB2312"/>
          <w:color w:val="auto"/>
          <w:sz w:val="32"/>
          <w:szCs w:val="32"/>
          <w:highlight w:val="none"/>
          <w:lang w:val="en-US" w:eastAsia="zh-CN"/>
        </w:rPr>
        <w:t>等</w:t>
      </w:r>
      <w:r>
        <w:rPr>
          <w:rFonts w:hint="eastAsia" w:ascii="仿宋_GB2312" w:hAnsi="ˎ̥" w:eastAsia="仿宋_GB2312"/>
          <w:color w:val="auto"/>
          <w:sz w:val="32"/>
          <w:szCs w:val="32"/>
          <w:highlight w:val="none"/>
        </w:rPr>
        <w:t>，较</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年度决算数增加</w:t>
      </w:r>
      <w:r>
        <w:rPr>
          <w:rFonts w:hint="eastAsia" w:ascii="仿宋_GB2312" w:hAnsi="ˎ̥" w:eastAsia="仿宋_GB2312"/>
          <w:color w:val="auto"/>
          <w:sz w:val="32"/>
          <w:szCs w:val="32"/>
          <w:highlight w:val="none"/>
          <w:lang w:val="en-US" w:eastAsia="zh-CN"/>
        </w:rPr>
        <w:t>4773.01</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35.58</w:t>
      </w:r>
      <w:r>
        <w:rPr>
          <w:rFonts w:hint="eastAsia" w:ascii="仿宋_GB2312" w:hAnsi="ˎ̥" w:eastAsia="仿宋_GB2312"/>
          <w:color w:val="auto"/>
          <w:sz w:val="32"/>
          <w:szCs w:val="32"/>
          <w:highlight w:val="none"/>
        </w:rPr>
        <w:t>%，主要原因是立项的重大科研项目按合同约定实行分阶段拨款，资金根据项目执行进度结转至本年度继续使用。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财政拨款年末结转结余</w:t>
      </w:r>
      <w:r>
        <w:rPr>
          <w:rFonts w:hint="default" w:ascii="仿宋_GB2312" w:hAnsi="ˎ̥" w:eastAsia="仿宋_GB2312"/>
          <w:color w:val="auto"/>
          <w:sz w:val="32"/>
          <w:szCs w:val="32"/>
          <w:highlight w:val="none"/>
          <w:lang w:val="en-US"/>
        </w:rPr>
        <w:t>21,687.40</w:t>
      </w:r>
      <w:r>
        <w:rPr>
          <w:rFonts w:hint="eastAsia" w:ascii="仿宋_GB2312" w:hAnsi="ˎ̥" w:eastAsia="仿宋_GB2312"/>
          <w:color w:val="auto"/>
          <w:sz w:val="32"/>
          <w:szCs w:val="32"/>
          <w:highlight w:val="none"/>
        </w:rPr>
        <w:t>万元，主要是尚未执行完毕的重大科研项目资金及基地建设专项经费，较</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年度决算数增加</w:t>
      </w:r>
      <w:r>
        <w:rPr>
          <w:rFonts w:hint="eastAsia" w:ascii="仿宋_GB2312" w:hAnsi="ˎ̥" w:eastAsia="仿宋_GB2312"/>
          <w:color w:val="auto"/>
          <w:sz w:val="32"/>
          <w:szCs w:val="32"/>
          <w:highlight w:val="none"/>
          <w:lang w:val="en-US" w:eastAsia="zh-CN"/>
        </w:rPr>
        <w:t>1,969.13</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9.99</w:t>
      </w:r>
      <w:r>
        <w:rPr>
          <w:rFonts w:hint="eastAsia" w:ascii="仿宋_GB2312" w:hAnsi="ˎ̥" w:eastAsia="仿宋_GB2312"/>
          <w:color w:val="auto"/>
          <w:sz w:val="32"/>
          <w:szCs w:val="32"/>
          <w:highlight w:val="none"/>
        </w:rPr>
        <w:t>%，主要原因是新增多个国家级及省级重点研发计划项目，资金按项目实施进度分期拨付，导致资金需结转至下年度按规定用途继续使用。</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rPr>
      </w:pPr>
      <w:bookmarkStart w:id="79" w:name="_Toc9989_WPSOffice_Level2"/>
      <w:bookmarkStart w:id="80" w:name="_Toc19665_WPSOffice_Level2"/>
      <w:bookmarkStart w:id="81" w:name="_Toc17398_WPSOffice_Level2"/>
      <w:bookmarkStart w:id="82" w:name="_Toc23005_WPSOffice_Level2"/>
      <w:bookmarkStart w:id="83" w:name="_Toc21737_WPSOffice_Level2"/>
      <w:bookmarkStart w:id="84" w:name="_Toc13694_WPSOffice_Level2"/>
      <w:r>
        <w:rPr>
          <w:rFonts w:hint="eastAsia" w:ascii="楷体" w:hAnsi="楷体" w:eastAsia="楷体" w:cs="楷体"/>
          <w:color w:val="auto"/>
          <w:sz w:val="32"/>
          <w:szCs w:val="32"/>
          <w:highlight w:val="none"/>
        </w:rPr>
        <w:t>（一）一般公共预算财政拨款支出决算总体情况</w:t>
      </w:r>
      <w:bookmarkEnd w:id="79"/>
      <w:bookmarkEnd w:id="80"/>
      <w:bookmarkEnd w:id="81"/>
      <w:bookmarkEnd w:id="82"/>
      <w:bookmarkEnd w:id="83"/>
      <w:bookmarkEnd w:id="84"/>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年度一般公共预算财政拨款支出</w:t>
      </w:r>
      <w:r>
        <w:rPr>
          <w:rFonts w:hint="default" w:ascii="仿宋_GB2312" w:hAnsi="ˎ̥" w:eastAsia="仿宋_GB2312"/>
          <w:color w:val="auto"/>
          <w:sz w:val="32"/>
          <w:szCs w:val="32"/>
          <w:highlight w:val="none"/>
          <w:lang w:val="en-US"/>
        </w:rPr>
        <w:t>9,946.96</w:t>
      </w:r>
      <w:r>
        <w:rPr>
          <w:rFonts w:hint="eastAsia" w:ascii="仿宋_GB2312" w:hAnsi="ˎ̥" w:eastAsia="仿宋_GB2312"/>
          <w:color w:val="auto"/>
          <w:sz w:val="32"/>
          <w:szCs w:val="32"/>
          <w:highlight w:val="none"/>
        </w:rPr>
        <w:t>万元，占本年支出合计的</w:t>
      </w:r>
      <w:r>
        <w:rPr>
          <w:rFonts w:hint="eastAsia" w:ascii="仿宋_GB2312" w:hAnsi="ˎ̥" w:eastAsia="仿宋_GB2312"/>
          <w:color w:val="auto"/>
          <w:sz w:val="32"/>
          <w:szCs w:val="32"/>
          <w:highlight w:val="none"/>
          <w:lang w:val="en-US" w:eastAsia="zh-CN"/>
        </w:rPr>
        <w:t>72.15</w:t>
      </w:r>
      <w:r>
        <w:rPr>
          <w:rFonts w:hint="eastAsia" w:ascii="仿宋_GB2312" w:hAnsi="ˎ̥" w:eastAsia="仿宋_GB2312"/>
          <w:color w:val="auto"/>
          <w:sz w:val="32"/>
          <w:szCs w:val="32"/>
          <w:highlight w:val="none"/>
        </w:rPr>
        <w:t>%。与</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年度相比，一般公共预算财政拨款支出增加</w:t>
      </w:r>
      <w:r>
        <w:rPr>
          <w:rFonts w:hint="eastAsia" w:ascii="仿宋_GB2312" w:hAnsi="ˎ̥" w:eastAsia="仿宋_GB2312"/>
          <w:color w:val="auto"/>
          <w:sz w:val="32"/>
          <w:szCs w:val="32"/>
          <w:highlight w:val="none"/>
          <w:lang w:val="en-US" w:eastAsia="zh-CN"/>
        </w:rPr>
        <w:t>3,747.49</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60.45</w:t>
      </w:r>
      <w:r>
        <w:rPr>
          <w:rFonts w:hint="eastAsia" w:ascii="仿宋_GB2312" w:hAnsi="ˎ̥" w:eastAsia="仿宋_GB2312"/>
          <w:color w:val="auto"/>
          <w:sz w:val="32"/>
          <w:szCs w:val="32"/>
          <w:highlight w:val="none"/>
        </w:rPr>
        <w:t>%，主要原因是一是重大科研项目</w:t>
      </w:r>
      <w:r>
        <w:rPr>
          <w:rFonts w:hint="eastAsia" w:ascii="仿宋_GB2312" w:hAnsi="ˎ̥" w:eastAsia="仿宋_GB2312"/>
          <w:color w:val="auto"/>
          <w:sz w:val="32"/>
          <w:szCs w:val="32"/>
          <w:highlight w:val="none"/>
          <w:lang w:val="en-US" w:eastAsia="zh-CN"/>
        </w:rPr>
        <w:t>业务、</w:t>
      </w:r>
      <w:r>
        <w:rPr>
          <w:rFonts w:hint="eastAsia" w:ascii="仿宋_GB2312" w:hAnsi="ˎ̥" w:eastAsia="仿宋_GB2312"/>
          <w:color w:val="auto"/>
          <w:sz w:val="32"/>
          <w:szCs w:val="32"/>
          <w:highlight w:val="none"/>
        </w:rPr>
        <w:t>设备采购及基地建设投入加大；二是科研人才引进与团队建设经费支出增长。</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rPr>
      </w:pPr>
      <w:bookmarkStart w:id="85" w:name="_Toc19075_WPSOffice_Level2"/>
      <w:bookmarkStart w:id="86" w:name="_Toc23864_WPSOffice_Level2"/>
      <w:bookmarkStart w:id="87" w:name="_Toc18793_WPSOffice_Level2"/>
      <w:bookmarkStart w:id="88" w:name="_Toc27767_WPSOffice_Level2"/>
      <w:bookmarkStart w:id="89" w:name="_Toc19535_WPSOffice_Level2"/>
      <w:bookmarkStart w:id="90" w:name="_Toc2711_WPSOffice_Level2"/>
      <w:r>
        <w:rPr>
          <w:rFonts w:hint="eastAsia" w:ascii="楷体" w:hAnsi="楷体" w:eastAsia="楷体" w:cs="楷体"/>
          <w:color w:val="auto"/>
          <w:sz w:val="32"/>
          <w:szCs w:val="32"/>
          <w:highlight w:val="none"/>
        </w:rPr>
        <w:t>（二）一般公共预算财政拨款支出决算结构情况</w:t>
      </w:r>
      <w:bookmarkEnd w:id="85"/>
      <w:bookmarkEnd w:id="86"/>
      <w:bookmarkEnd w:id="87"/>
      <w:bookmarkEnd w:id="88"/>
      <w:bookmarkEnd w:id="89"/>
      <w:bookmarkEnd w:id="90"/>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年度一般公共预算财政拨款支出</w:t>
      </w:r>
      <w:r>
        <w:rPr>
          <w:rFonts w:hint="default" w:ascii="仿宋_GB2312" w:hAnsi="ˎ̥" w:eastAsia="仿宋_GB2312"/>
          <w:color w:val="auto"/>
          <w:sz w:val="32"/>
          <w:szCs w:val="32"/>
          <w:highlight w:val="none"/>
          <w:lang w:val="en-US"/>
        </w:rPr>
        <w:t>9,946.96</w:t>
      </w:r>
      <w:r>
        <w:rPr>
          <w:rFonts w:hint="eastAsia" w:ascii="仿宋_GB2312" w:hAnsi="ˎ̥" w:eastAsia="仿宋_GB2312"/>
          <w:color w:val="auto"/>
          <w:sz w:val="32"/>
          <w:szCs w:val="32"/>
          <w:highlight w:val="none"/>
        </w:rPr>
        <w:t>万元，主要用于以下方面：</w:t>
      </w:r>
      <w:r>
        <w:rPr>
          <w:rFonts w:hint="eastAsia" w:ascii="仿宋_GB2312" w:hAnsi="ˎ̥" w:eastAsia="仿宋_GB2312"/>
          <w:color w:val="auto"/>
          <w:sz w:val="32"/>
          <w:szCs w:val="32"/>
          <w:highlight w:val="none"/>
          <w:lang w:val="en-US" w:eastAsia="zh-CN"/>
        </w:rPr>
        <w:t>科学技术支出</w:t>
      </w:r>
      <w:r>
        <w:rPr>
          <w:rFonts w:hint="default" w:ascii="仿宋_GB2312" w:hAnsi="ˎ̥" w:eastAsia="仿宋_GB2312"/>
          <w:color w:val="auto"/>
          <w:sz w:val="32"/>
          <w:szCs w:val="32"/>
          <w:highlight w:val="none"/>
          <w:lang w:val="en-US"/>
        </w:rPr>
        <w:t>9,946.96</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占比100%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rPr>
      </w:pPr>
      <w:bookmarkStart w:id="91" w:name="_Toc25136_WPSOffice_Level2"/>
      <w:bookmarkStart w:id="92" w:name="_Toc9502_WPSOffice_Level2"/>
      <w:bookmarkStart w:id="93" w:name="_Toc21701_WPSOffice_Level2"/>
      <w:bookmarkStart w:id="94" w:name="_Toc29364_WPSOffice_Level2"/>
      <w:bookmarkStart w:id="95" w:name="_Toc15415_WPSOffice_Level2"/>
      <w:bookmarkStart w:id="96" w:name="_Toc22318_WPSOffice_Level2"/>
      <w:r>
        <w:rPr>
          <w:rFonts w:hint="eastAsia" w:ascii="楷体" w:hAnsi="楷体" w:eastAsia="楷体" w:cs="楷体"/>
          <w:color w:val="auto"/>
          <w:sz w:val="32"/>
          <w:szCs w:val="32"/>
          <w:highlight w:val="none"/>
        </w:rPr>
        <w:t>（三）一般公共预算财政拨款支出决算具体情况</w:t>
      </w:r>
      <w:bookmarkEnd w:id="91"/>
      <w:bookmarkEnd w:id="92"/>
      <w:bookmarkEnd w:id="93"/>
      <w:bookmarkEnd w:id="94"/>
      <w:bookmarkEnd w:id="95"/>
      <w:bookmarkEnd w:id="96"/>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年度一般公共预算财政拨款支出年初预算为</w:t>
      </w:r>
      <w:r>
        <w:rPr>
          <w:rFonts w:hint="eastAsia" w:ascii="仿宋_GB2312" w:hAnsi="ˎ̥" w:eastAsia="仿宋_GB2312"/>
          <w:color w:val="auto"/>
          <w:sz w:val="32"/>
          <w:szCs w:val="32"/>
          <w:highlight w:val="none"/>
          <w:lang w:val="en-US" w:eastAsia="zh-CN"/>
        </w:rPr>
        <w:t>10,194.00</w:t>
      </w:r>
      <w:r>
        <w:rPr>
          <w:rFonts w:hint="eastAsia" w:ascii="仿宋_GB2312" w:hAnsi="ˎ̥" w:eastAsia="仿宋_GB2312"/>
          <w:color w:val="auto"/>
          <w:sz w:val="32"/>
          <w:szCs w:val="32"/>
          <w:highlight w:val="none"/>
        </w:rPr>
        <w:t>万元，支出决算为</w:t>
      </w:r>
      <w:r>
        <w:rPr>
          <w:rFonts w:hint="default" w:ascii="仿宋_GB2312" w:hAnsi="ˎ̥" w:eastAsia="仿宋_GB2312"/>
          <w:color w:val="auto"/>
          <w:sz w:val="32"/>
          <w:szCs w:val="32"/>
          <w:highlight w:val="none"/>
          <w:lang w:val="en-US"/>
        </w:rPr>
        <w:t>9,946.96</w:t>
      </w:r>
      <w:r>
        <w:rPr>
          <w:rFonts w:hint="eastAsia" w:ascii="仿宋_GB2312" w:hAnsi="ˎ̥" w:eastAsia="仿宋_GB2312"/>
          <w:color w:val="auto"/>
          <w:sz w:val="32"/>
          <w:szCs w:val="32"/>
          <w:highlight w:val="none"/>
        </w:rPr>
        <w:t>万元，完成年初预算的</w:t>
      </w:r>
      <w:r>
        <w:rPr>
          <w:rFonts w:hint="eastAsia" w:ascii="仿宋_GB2312" w:hAnsi="ˎ̥" w:eastAsia="仿宋_GB2312"/>
          <w:color w:val="auto"/>
          <w:sz w:val="32"/>
          <w:szCs w:val="32"/>
          <w:highlight w:val="none"/>
          <w:lang w:val="en-US" w:eastAsia="zh-CN"/>
        </w:rPr>
        <w:t>97.58</w:t>
      </w:r>
      <w:r>
        <w:rPr>
          <w:rFonts w:hint="eastAsia" w:ascii="仿宋_GB2312" w:hAnsi="ˎ̥" w:eastAsia="仿宋_GB2312"/>
          <w:color w:val="auto"/>
          <w:sz w:val="32"/>
          <w:szCs w:val="32"/>
          <w:highlight w:val="none"/>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
          <w:color w:val="auto"/>
          <w:sz w:val="32"/>
          <w:szCs w:val="32"/>
          <w:highlight w:val="none"/>
        </w:rPr>
      </w:pPr>
      <w:r>
        <w:rPr>
          <w:rFonts w:hint="eastAsia" w:ascii="仿宋_GB2312" w:hAnsi="ˎ̥" w:eastAsia="仿宋_GB2312"/>
          <w:color w:val="auto"/>
          <w:sz w:val="32"/>
          <w:szCs w:val="32"/>
          <w:highlight w:val="none"/>
        </w:rPr>
        <w:t>1.</w:t>
      </w:r>
      <w:r>
        <w:rPr>
          <w:rFonts w:hint="eastAsia" w:ascii="仿宋_GB2312" w:hAnsi="ˎ̥" w:eastAsia="仿宋_GB2312"/>
          <w:b/>
          <w:color w:val="auto"/>
          <w:sz w:val="32"/>
          <w:szCs w:val="32"/>
          <w:highlight w:val="none"/>
          <w:lang w:val="en-US" w:eastAsia="zh-CN"/>
        </w:rPr>
        <w:t>科学技术支出（类）其他科学技术支出（款）其他科学技术支出（项）</w:t>
      </w:r>
      <w:r>
        <w:rPr>
          <w:rFonts w:hint="eastAsia" w:ascii="仿宋_GB2312" w:hAnsi="ˎ̥" w:eastAsia="仿宋_GB2312"/>
          <w:b/>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lang w:val="en-US"/>
        </w:rPr>
      </w:pPr>
      <w:r>
        <w:rPr>
          <w:rFonts w:hint="eastAsia" w:ascii="仿宋_GB2312" w:hAnsi="ˎ̥" w:eastAsia="仿宋_GB2312"/>
          <w:color w:val="auto"/>
          <w:sz w:val="32"/>
          <w:szCs w:val="32"/>
          <w:highlight w:val="none"/>
          <w:lang w:val="en-US"/>
        </w:rPr>
        <w:t>年初预算为</w:t>
      </w:r>
      <w:r>
        <w:rPr>
          <w:rFonts w:hint="eastAsia" w:ascii="仿宋_GB2312" w:hAnsi="ˎ̥" w:eastAsia="仿宋_GB2312"/>
          <w:color w:val="auto"/>
          <w:sz w:val="32"/>
          <w:szCs w:val="32"/>
          <w:highlight w:val="none"/>
          <w:lang w:val="en-US" w:eastAsia="zh-CN"/>
        </w:rPr>
        <w:t>10,194.00</w:t>
      </w:r>
      <w:r>
        <w:rPr>
          <w:rFonts w:hint="eastAsia" w:ascii="仿宋_GB2312" w:hAnsi="ˎ̥" w:eastAsia="仿宋_GB2312"/>
          <w:color w:val="auto"/>
          <w:sz w:val="32"/>
          <w:szCs w:val="32"/>
          <w:highlight w:val="none"/>
          <w:lang w:val="en-US"/>
        </w:rPr>
        <w:t>万元，支出决算为</w:t>
      </w:r>
      <w:r>
        <w:rPr>
          <w:rFonts w:hint="default" w:ascii="仿宋_GB2312" w:hAnsi="ˎ̥" w:eastAsia="仿宋_GB2312"/>
          <w:color w:val="auto"/>
          <w:sz w:val="32"/>
          <w:szCs w:val="32"/>
          <w:highlight w:val="none"/>
          <w:lang w:val="en-US"/>
        </w:rPr>
        <w:t>9,946.96</w:t>
      </w:r>
      <w:r>
        <w:rPr>
          <w:rFonts w:hint="eastAsia" w:ascii="仿宋_GB2312" w:hAnsi="ˎ̥" w:eastAsia="仿宋_GB2312"/>
          <w:color w:val="auto"/>
          <w:sz w:val="32"/>
          <w:szCs w:val="32"/>
          <w:highlight w:val="none"/>
          <w:lang w:val="en-US"/>
        </w:rPr>
        <w:t>万元，完成年初预算的</w:t>
      </w:r>
      <w:r>
        <w:rPr>
          <w:rFonts w:hint="eastAsia" w:ascii="仿宋_GB2312" w:hAnsi="ˎ̥" w:eastAsia="仿宋_GB2312"/>
          <w:color w:val="auto"/>
          <w:sz w:val="32"/>
          <w:szCs w:val="32"/>
          <w:highlight w:val="none"/>
          <w:lang w:val="en-US" w:eastAsia="zh-CN"/>
        </w:rPr>
        <w:t>97.58</w:t>
      </w:r>
      <w:r>
        <w:rPr>
          <w:rFonts w:hint="eastAsia" w:ascii="仿宋_GB2312" w:hAnsi="ˎ̥" w:eastAsia="仿宋_GB2312"/>
          <w:color w:val="auto"/>
          <w:sz w:val="32"/>
          <w:szCs w:val="32"/>
          <w:highlight w:val="none"/>
          <w:lang w:val="en-US"/>
        </w:rPr>
        <w:t>%。决算数与预算数基本一致，表明预算执行情况良好，资金得到有效利用。</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color w:val="auto"/>
          <w:sz w:val="32"/>
          <w:szCs w:val="32"/>
          <w:highlight w:val="none"/>
        </w:rPr>
      </w:pPr>
      <w:r>
        <w:rPr>
          <w:rFonts w:hint="eastAsia" w:ascii="黑体" w:hAnsi="黑体" w:eastAsia="黑体" w:cs="黑体"/>
          <w:bCs/>
          <w:color w:val="auto"/>
          <w:sz w:val="32"/>
          <w:szCs w:val="32"/>
          <w:highlight w:val="none"/>
        </w:rPr>
        <w:t>六、一般公共预算财政拨款基本支出决算情况说明</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年度财政拨款基本支出</w:t>
      </w:r>
      <w:r>
        <w:rPr>
          <w:rFonts w:hint="eastAsia"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万元，其中：人员经费</w:t>
      </w:r>
      <w:r>
        <w:rPr>
          <w:rFonts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w:t>
      </w:r>
      <w:r>
        <w:rPr>
          <w:rFonts w:hint="eastAsia" w:ascii="仿宋_GB2312" w:hAnsi="ˎ̥" w:eastAsia="仿宋_GB2312"/>
          <w:color w:val="auto"/>
          <w:sz w:val="32"/>
          <w:szCs w:val="32"/>
          <w:highlight w:val="none"/>
          <w:lang w:val="en-US" w:eastAsia="zh-CN"/>
        </w:rPr>
        <w:t>购</w:t>
      </w:r>
      <w:r>
        <w:rPr>
          <w:rFonts w:hint="eastAsia" w:ascii="仿宋_GB2312" w:hAnsi="ˎ̥" w:eastAsia="仿宋_GB2312"/>
          <w:color w:val="auto"/>
          <w:sz w:val="32"/>
          <w:szCs w:val="32"/>
          <w:highlight w:val="none"/>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（一）政府性基金预算财政拨款支出决算总体情况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年度政府性基金预算财政拨款支出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万元，占本年支出合计的</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（二）政府性基金预算财政拨款支出决算结构情况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年度政府性基金预算财政拨款支出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（三）政府性基金预算财政拨款支出决算具体情况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年度政府性基金预算财政拨款支出年初预算为</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万元，支出决算为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万元，完成年初预算的</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（一）国有资本经营预算财政拨款支出决算总体情况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年度国有资本经营预算财政拨款支出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万元，占本年支出合计的</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%。与</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年度相比，国有资本经营预算财政拨款支出增加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万元，增长</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（二）国有资本经营预算财政拨款支出决算结构情况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年度国有资本经营预算财政拨款支出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（三）国有资本经营预算财政拨款支出决算具体情况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lang w:val="en-US" w:eastAsia="zh-CN"/>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年度国有资本经营预算财政拨款支出年初预算为</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万元，支出决算为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万元，完成年初预算的</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color w:val="auto"/>
          <w:sz w:val="32"/>
          <w:szCs w:val="32"/>
          <w:highlight w:val="none"/>
        </w:rPr>
      </w:pPr>
      <w:r>
        <w:rPr>
          <w:rFonts w:hint="eastAsia" w:ascii="黑体" w:hAnsi="黑体" w:eastAsia="黑体" w:cs="黑体"/>
          <w:bCs/>
          <w:color w:val="auto"/>
          <w:sz w:val="32"/>
          <w:szCs w:val="32"/>
          <w:highlight w:val="none"/>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 xml:space="preserve">    </w:t>
      </w: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年度财政拨款“三公”经费支出预算为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万元，支出决算为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万元，完成预算的</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r>
        <w:rPr>
          <w:rFonts w:ascii="仿宋_GB2312" w:hAnsi="ˎ̥" w:eastAsia="仿宋_GB2312"/>
          <w:color w:val="auto"/>
          <w:sz w:val="32"/>
          <w:szCs w:val="32"/>
          <w:highlight w:val="none"/>
        </w:rPr>
        <w:t>与</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w:t>
      </w:r>
      <w:r>
        <w:rPr>
          <w:rFonts w:ascii="仿宋_GB2312" w:hAnsi="ˎ̥" w:eastAsia="仿宋_GB2312"/>
          <w:color w:val="auto"/>
          <w:sz w:val="32"/>
          <w:szCs w:val="32"/>
          <w:highlight w:val="none"/>
        </w:rPr>
        <w:t>相比，</w:t>
      </w:r>
      <w:r>
        <w:rPr>
          <w:rFonts w:hint="eastAsia" w:ascii="仿宋_GB2312" w:hAnsi="ˎ̥" w:eastAsia="仿宋_GB2312"/>
          <w:color w:val="auto"/>
          <w:sz w:val="32"/>
          <w:szCs w:val="32"/>
          <w:highlight w:val="none"/>
        </w:rPr>
        <w:t>“三公”经费支出增加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ascii="仿宋_GB2312" w:hAnsi="ˎ̥" w:eastAsia="仿宋_GB2312"/>
          <w:color w:val="auto"/>
          <w:sz w:val="32"/>
          <w:szCs w:val="32"/>
          <w:highlight w:val="none"/>
        </w:rPr>
        <w:t>，增长</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color w:val="auto"/>
          <w:sz w:val="32"/>
          <w:szCs w:val="32"/>
          <w:highlight w:val="none"/>
        </w:rPr>
      </w:pPr>
      <w:r>
        <w:rPr>
          <w:rFonts w:hint="eastAsia" w:ascii="楷体" w:hAnsi="楷体" w:eastAsia="楷体" w:cs="楷体"/>
          <w:b/>
          <w:bCs/>
          <w:color w:val="auto"/>
          <w:sz w:val="32"/>
          <w:szCs w:val="32"/>
          <w:highlight w:val="none"/>
        </w:rPr>
        <w:t xml:space="preserve">   </w:t>
      </w:r>
      <w:r>
        <w:rPr>
          <w:rFonts w:hint="eastAsia" w:ascii="楷体" w:hAnsi="楷体" w:eastAsia="楷体" w:cs="楷体"/>
          <w:color w:val="auto"/>
          <w:sz w:val="32"/>
          <w:szCs w:val="32"/>
          <w:highlight w:val="none"/>
        </w:rPr>
        <w:t xml:space="preserve"> （二）财政拨款“三公”经费支出决算具体情况说明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年度财政拨款“三公”经费支出决算中，因公出国（境）费支出决算</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%；公务用车购置及运行维护费支出决算</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%；公务接待费支出决算</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%。具体情况如下：</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highlight w:val="none"/>
        </w:rPr>
      </w:pPr>
      <w:r>
        <w:rPr>
          <w:rFonts w:hint="eastAsia" w:ascii="仿宋_GB2312" w:hAnsi="ˎ̥" w:eastAsia="仿宋_GB2312"/>
          <w:b/>
          <w:color w:val="auto"/>
          <w:sz w:val="32"/>
          <w:szCs w:val="32"/>
          <w:highlight w:val="none"/>
        </w:rPr>
        <w:t>1.因公出国（境）费</w:t>
      </w:r>
      <w:r>
        <w:rPr>
          <w:rFonts w:hint="eastAsia" w:ascii="仿宋_GB2312" w:hAnsi="ˎ̥" w:eastAsia="仿宋_GB2312"/>
          <w:color w:val="auto"/>
          <w:sz w:val="32"/>
          <w:szCs w:val="32"/>
          <w:highlight w:val="none"/>
        </w:rPr>
        <w:t>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万元。全年安排因公出国（境）团组</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个，因公出国（境）</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人次。开支内容包括：</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因公出国（境）费支出决算</w:t>
      </w:r>
      <w:r>
        <w:rPr>
          <w:rFonts w:hint="eastAsia" w:ascii="仿宋_GB2312" w:hAnsi="ˎ̥" w:eastAsia="仿宋_GB2312"/>
          <w:color w:val="auto"/>
          <w:sz w:val="32"/>
          <w:szCs w:val="32"/>
          <w:highlight w:val="none"/>
          <w:lang w:val="en-US" w:eastAsia="zh-CN"/>
        </w:rPr>
        <w:t>数</w:t>
      </w:r>
      <w:r>
        <w:rPr>
          <w:rFonts w:hint="eastAsia" w:ascii="仿宋_GB2312" w:hAnsi="ˎ̥" w:eastAsia="仿宋_GB2312"/>
          <w:color w:val="auto"/>
          <w:sz w:val="32"/>
          <w:szCs w:val="32"/>
          <w:highlight w:val="none"/>
        </w:rPr>
        <w:t>比预算数增加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val="en-US" w:eastAsia="zh-CN"/>
        </w:rPr>
        <w:t>完成预算的0</w:t>
      </w:r>
      <w:r>
        <w:rPr>
          <w:rFonts w:hint="default" w:ascii="仿宋_GB2312" w:hAnsi="ˎ̥" w:eastAsia="仿宋_GB2312"/>
          <w:color w:val="auto"/>
          <w:sz w:val="32"/>
          <w:szCs w:val="32"/>
          <w:highlight w:val="none"/>
          <w:lang w:val="en-US" w:eastAsia="zh-CN"/>
        </w:rPr>
        <w:t>%</w:t>
      </w:r>
      <w:r>
        <w:rPr>
          <w:rFonts w:hint="eastAsia" w:ascii="仿宋_GB2312" w:hAnsi="ˎ̥" w:eastAsia="仿宋_GB2312"/>
          <w:color w:val="auto"/>
          <w:sz w:val="32"/>
          <w:szCs w:val="32"/>
          <w:highlight w:val="none"/>
        </w:rPr>
        <w:t>。与</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w:t>
      </w:r>
      <w:r>
        <w:rPr>
          <w:rFonts w:ascii="仿宋_GB2312" w:hAnsi="ˎ̥" w:eastAsia="仿宋_GB2312"/>
          <w:color w:val="auto"/>
          <w:sz w:val="32"/>
          <w:szCs w:val="32"/>
          <w:highlight w:val="none"/>
        </w:rPr>
        <w:t>相比，</w:t>
      </w:r>
      <w:r>
        <w:rPr>
          <w:rFonts w:hint="eastAsia" w:ascii="仿宋_GB2312" w:hAnsi="ˎ̥" w:eastAsia="仿宋_GB2312"/>
          <w:color w:val="auto"/>
          <w:sz w:val="32"/>
          <w:szCs w:val="32"/>
          <w:highlight w:val="none"/>
        </w:rPr>
        <w:t>因公出国（境）费支出增加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ascii="仿宋_GB2312" w:hAnsi="ˎ̥" w:eastAsia="仿宋_GB2312"/>
          <w:color w:val="auto"/>
          <w:sz w:val="32"/>
          <w:szCs w:val="32"/>
          <w:highlight w:val="none"/>
        </w:rPr>
        <w:t>，增长</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highlight w:val="none"/>
        </w:rPr>
      </w:pPr>
      <w:r>
        <w:rPr>
          <w:rFonts w:hint="eastAsia" w:ascii="仿宋_GB2312" w:hAnsi="ˎ̥" w:eastAsia="仿宋_GB2312"/>
          <w:b/>
          <w:color w:val="auto"/>
          <w:sz w:val="32"/>
          <w:szCs w:val="32"/>
          <w:highlight w:val="none"/>
        </w:rPr>
        <w:t xml:space="preserve">    2.公务用车购置及运行维护费</w:t>
      </w:r>
      <w:r>
        <w:rPr>
          <w:rFonts w:hint="eastAsia" w:ascii="仿宋_GB2312" w:hAnsi="ˎ̥" w:eastAsia="仿宋_GB2312"/>
          <w:b w:val="0"/>
          <w:bCs/>
          <w:color w:val="auto"/>
          <w:sz w:val="32"/>
          <w:szCs w:val="32"/>
          <w:highlight w:val="none"/>
        </w:rPr>
        <w:t>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highlight w:val="none"/>
        </w:rPr>
      </w:pPr>
      <w:r>
        <w:rPr>
          <w:rFonts w:hint="eastAsia" w:ascii="仿宋_GB2312" w:hAnsi="ˎ̥" w:eastAsia="仿宋_GB2312"/>
          <w:b/>
          <w:color w:val="auto"/>
          <w:sz w:val="32"/>
          <w:szCs w:val="32"/>
          <w:highlight w:val="none"/>
        </w:rPr>
        <w:t>公务用车购置</w:t>
      </w:r>
      <w:r>
        <w:rPr>
          <w:rFonts w:hint="eastAsia" w:ascii="仿宋_GB2312" w:hAnsi="ˎ̥" w:eastAsia="仿宋_GB2312"/>
          <w:b w:val="0"/>
          <w:bCs/>
          <w:color w:val="auto"/>
          <w:sz w:val="32"/>
          <w:szCs w:val="32"/>
          <w:highlight w:val="none"/>
        </w:rPr>
        <w:t>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万元，全年购置公务用车</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highlight w:val="none"/>
        </w:rPr>
      </w:pPr>
      <w:r>
        <w:rPr>
          <w:rFonts w:hint="eastAsia" w:ascii="仿宋_GB2312" w:hAnsi="ˎ̥" w:eastAsia="仿宋_GB2312"/>
          <w:b/>
          <w:color w:val="auto"/>
          <w:sz w:val="32"/>
          <w:szCs w:val="32"/>
          <w:highlight w:val="none"/>
        </w:rPr>
        <w:t>公务用车运行维护费</w:t>
      </w:r>
      <w:r>
        <w:rPr>
          <w:rFonts w:hint="eastAsia" w:ascii="仿宋_GB2312" w:hAnsi="ˎ̥" w:eastAsia="仿宋_GB2312"/>
          <w:color w:val="auto"/>
          <w:sz w:val="32"/>
          <w:szCs w:val="32"/>
          <w:highlight w:val="none"/>
        </w:rPr>
        <w:t>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bCs/>
          <w:color w:val="auto"/>
          <w:sz w:val="32"/>
          <w:szCs w:val="32"/>
          <w:highlight w:val="none"/>
        </w:rPr>
      </w:pPr>
      <w:r>
        <w:rPr>
          <w:rFonts w:hint="eastAsia" w:ascii="仿宋_GB2312" w:hAnsi="ˎ̥" w:eastAsia="仿宋_GB2312"/>
          <w:bCs/>
          <w:color w:val="auto"/>
          <w:sz w:val="32"/>
          <w:szCs w:val="32"/>
          <w:highlight w:val="none"/>
        </w:rPr>
        <w:t>公务用车购置及运行维护费支出决算数</w:t>
      </w:r>
      <w:r>
        <w:rPr>
          <w:rFonts w:hint="eastAsia" w:ascii="仿宋_GB2312" w:hAnsi="ˎ̥" w:eastAsia="仿宋_GB2312"/>
          <w:color w:val="auto"/>
          <w:sz w:val="32"/>
          <w:szCs w:val="32"/>
          <w:highlight w:val="none"/>
        </w:rPr>
        <w:t>比预算数增加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val="en-US" w:eastAsia="zh-CN"/>
        </w:rPr>
        <w:t>完成预算的0</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val="en-US" w:eastAsia="zh-CN"/>
        </w:rPr>
        <w:t>。</w:t>
      </w:r>
      <w:r>
        <w:rPr>
          <w:rFonts w:hint="eastAsia" w:ascii="仿宋_GB2312" w:hAnsi="ˎ̥" w:eastAsia="仿宋_GB2312"/>
          <w:color w:val="auto"/>
          <w:sz w:val="32"/>
          <w:szCs w:val="32"/>
          <w:highlight w:val="none"/>
        </w:rPr>
        <w:t>与</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w:t>
      </w:r>
      <w:r>
        <w:rPr>
          <w:rFonts w:ascii="仿宋_GB2312" w:hAnsi="ˎ̥" w:eastAsia="仿宋_GB2312"/>
          <w:color w:val="auto"/>
          <w:sz w:val="32"/>
          <w:szCs w:val="32"/>
          <w:highlight w:val="none"/>
        </w:rPr>
        <w:t>相比，</w:t>
      </w:r>
      <w:r>
        <w:rPr>
          <w:rFonts w:hint="eastAsia" w:ascii="仿宋_GB2312" w:hAnsi="ˎ̥" w:eastAsia="仿宋_GB2312"/>
          <w:bCs/>
          <w:color w:val="auto"/>
          <w:sz w:val="32"/>
          <w:szCs w:val="32"/>
          <w:highlight w:val="none"/>
        </w:rPr>
        <w:t>公务用车购置及运行维护费</w:t>
      </w:r>
      <w:r>
        <w:rPr>
          <w:rFonts w:hint="eastAsia" w:ascii="仿宋_GB2312" w:hAnsi="ˎ̥" w:eastAsia="仿宋_GB2312"/>
          <w:color w:val="auto"/>
          <w:sz w:val="32"/>
          <w:szCs w:val="32"/>
          <w:highlight w:val="none"/>
        </w:rPr>
        <w:t>支出增加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ascii="仿宋_GB2312" w:hAnsi="ˎ̥" w:eastAsia="仿宋_GB2312"/>
          <w:color w:val="auto"/>
          <w:sz w:val="32"/>
          <w:szCs w:val="32"/>
          <w:highlight w:val="none"/>
        </w:rPr>
        <w:t>，增长</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color w:val="auto"/>
          <w:sz w:val="32"/>
          <w:szCs w:val="32"/>
          <w:highlight w:val="none"/>
        </w:rPr>
      </w:pPr>
      <w:r>
        <w:rPr>
          <w:rFonts w:hint="eastAsia" w:ascii="仿宋_GB2312" w:hAnsi="ˎ̥" w:eastAsia="仿宋_GB2312"/>
          <w:b/>
          <w:color w:val="auto"/>
          <w:sz w:val="32"/>
          <w:szCs w:val="32"/>
          <w:highlight w:val="none"/>
        </w:rPr>
        <w:t xml:space="preserve">    3.公务接待费</w:t>
      </w:r>
      <w:r>
        <w:rPr>
          <w:rFonts w:hint="eastAsia" w:ascii="仿宋_GB2312" w:hAnsi="ˎ̥" w:eastAsia="仿宋_GB2312"/>
          <w:b w:val="0"/>
          <w:bCs/>
          <w:color w:val="auto"/>
          <w:sz w:val="32"/>
          <w:szCs w:val="32"/>
          <w:highlight w:val="none"/>
        </w:rPr>
        <w:t>支出</w:t>
      </w:r>
      <w:r>
        <w:rPr>
          <w:rFonts w:hint="default" w:ascii="仿宋_GB2312" w:hAnsi="ˎ̥" w:eastAsia="仿宋_GB2312"/>
          <w:color w:val="auto"/>
          <w:sz w:val="32"/>
          <w:szCs w:val="32"/>
          <w:highlight w:val="none"/>
          <w:lang w:val="en-US"/>
        </w:rPr>
        <w:t>0.00</w:t>
      </w:r>
      <w:r>
        <w:rPr>
          <w:rFonts w:hint="eastAsia" w:ascii="仿宋_GB2312" w:hAnsi="ˎ̥" w:eastAsia="仿宋_GB2312"/>
          <w:color w:val="auto"/>
          <w:sz w:val="32"/>
          <w:szCs w:val="32"/>
          <w:highlight w:val="none"/>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highlight w:val="none"/>
        </w:rPr>
      </w:pPr>
      <w:r>
        <w:rPr>
          <w:rFonts w:hint="eastAsia" w:ascii="仿宋_GB2312" w:hAnsi="ˎ̥" w:eastAsia="仿宋_GB2312"/>
          <w:b/>
          <w:color w:val="auto"/>
          <w:sz w:val="32"/>
          <w:szCs w:val="32"/>
          <w:highlight w:val="none"/>
        </w:rPr>
        <w:t>国内接待费</w:t>
      </w:r>
      <w:r>
        <w:rPr>
          <w:rFonts w:hint="eastAsia" w:ascii="仿宋_GB2312" w:hAnsi="ˎ̥" w:eastAsia="仿宋_GB2312"/>
          <w:color w:val="auto"/>
          <w:sz w:val="32"/>
          <w:szCs w:val="32"/>
          <w:highlight w:val="none"/>
        </w:rPr>
        <w:t>支出</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万元，国内公务接待</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批次，接待</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人次。</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eastAsia" w:ascii="仿宋_GB2312" w:hAnsi="ˎ̥" w:eastAsia="仿宋_GB2312"/>
          <w:color w:val="auto"/>
          <w:sz w:val="32"/>
          <w:szCs w:val="32"/>
          <w:highlight w:val="none"/>
        </w:rPr>
      </w:pPr>
      <w:r>
        <w:rPr>
          <w:rFonts w:hint="eastAsia" w:ascii="仿宋_GB2312" w:hAnsi="ˎ̥" w:eastAsia="仿宋_GB2312"/>
          <w:b/>
          <w:bCs/>
          <w:color w:val="auto"/>
          <w:sz w:val="32"/>
          <w:szCs w:val="32"/>
          <w:highlight w:val="none"/>
        </w:rPr>
        <w:t>国（境）外接待费</w:t>
      </w:r>
      <w:r>
        <w:rPr>
          <w:rFonts w:hint="eastAsia" w:ascii="仿宋_GB2312" w:hAnsi="ˎ̥" w:eastAsia="仿宋_GB2312"/>
          <w:color w:val="auto"/>
          <w:sz w:val="32"/>
          <w:szCs w:val="32"/>
          <w:highlight w:val="none"/>
        </w:rPr>
        <w:t>支出</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万元，国（境）外公务接待</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批次，接待</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人次。</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公务接待费支出决算数比预算数增加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val="en-US" w:eastAsia="zh-CN"/>
        </w:rPr>
        <w:t>完成预算的0</w:t>
      </w:r>
      <w:r>
        <w:rPr>
          <w:rFonts w:hint="eastAsia" w:ascii="仿宋_GB2312" w:hAnsi="ˎ̥" w:eastAsia="仿宋_GB2312"/>
          <w:color w:val="auto"/>
          <w:sz w:val="32"/>
          <w:szCs w:val="32"/>
          <w:highlight w:val="none"/>
        </w:rPr>
        <w:t>%。与</w:t>
      </w:r>
      <w:r>
        <w:rPr>
          <w:rFonts w:hint="default" w:ascii="仿宋_GB2312" w:hAnsi="ˎ̥" w:eastAsia="仿宋_GB2312"/>
          <w:color w:val="auto"/>
          <w:sz w:val="32"/>
          <w:szCs w:val="32"/>
          <w:highlight w:val="none"/>
          <w:lang w:val="en-US"/>
        </w:rPr>
        <w:t>2023</w:t>
      </w:r>
      <w:r>
        <w:rPr>
          <w:rFonts w:hint="eastAsia" w:ascii="仿宋_GB2312" w:hAnsi="ˎ̥" w:eastAsia="仿宋_GB2312"/>
          <w:color w:val="auto"/>
          <w:sz w:val="32"/>
          <w:szCs w:val="32"/>
          <w:highlight w:val="none"/>
        </w:rPr>
        <w:t>年度</w:t>
      </w:r>
      <w:r>
        <w:rPr>
          <w:rFonts w:ascii="仿宋_GB2312" w:hAnsi="ˎ̥" w:eastAsia="仿宋_GB2312"/>
          <w:color w:val="auto"/>
          <w:sz w:val="32"/>
          <w:szCs w:val="32"/>
          <w:highlight w:val="none"/>
        </w:rPr>
        <w:t>相比，</w:t>
      </w:r>
      <w:r>
        <w:rPr>
          <w:rFonts w:hint="eastAsia" w:ascii="仿宋_GB2312" w:hAnsi="ˎ̥" w:eastAsia="仿宋_GB2312"/>
          <w:bCs/>
          <w:color w:val="auto"/>
          <w:sz w:val="32"/>
          <w:szCs w:val="32"/>
          <w:highlight w:val="none"/>
        </w:rPr>
        <w:t>公务接待费</w:t>
      </w:r>
      <w:r>
        <w:rPr>
          <w:rFonts w:hint="eastAsia" w:ascii="仿宋_GB2312" w:hAnsi="ˎ̥" w:eastAsia="仿宋_GB2312"/>
          <w:color w:val="auto"/>
          <w:sz w:val="32"/>
          <w:szCs w:val="32"/>
          <w:highlight w:val="none"/>
        </w:rPr>
        <w:t>支出增加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ascii="仿宋_GB2312" w:hAnsi="ˎ̥" w:eastAsia="仿宋_GB2312"/>
          <w:color w:val="auto"/>
          <w:sz w:val="32"/>
          <w:szCs w:val="32"/>
          <w:highlight w:val="none"/>
        </w:rPr>
        <w:t>，增长</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（一）绩效管理工作开展情况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根据财政预算绩效管理要求，我部门组织对</w:t>
      </w:r>
      <w:r>
        <w:rPr>
          <w:rFonts w:hint="default" w:ascii="仿宋_GB2312" w:eastAsia="仿宋_GB2312"/>
          <w:color w:val="auto"/>
          <w:sz w:val="32"/>
          <w:szCs w:val="32"/>
          <w:highlight w:val="none"/>
          <w:lang w:val="en-US"/>
        </w:rPr>
        <w:t>2024</w:t>
      </w:r>
      <w:r>
        <w:rPr>
          <w:rFonts w:hint="eastAsia" w:ascii="仿宋_GB2312" w:eastAsia="仿宋_GB2312"/>
          <w:color w:val="auto"/>
          <w:sz w:val="32"/>
          <w:szCs w:val="32"/>
          <w:highlight w:val="none"/>
        </w:rPr>
        <w:t>年度一般公共预算项目支出全面开展绩效自评</w:t>
      </w:r>
      <w:r>
        <w:rPr>
          <w:rFonts w:hint="default" w:ascii="仿宋_GB2312" w:eastAsia="仿宋_GB2312"/>
          <w:color w:val="auto"/>
          <w:sz w:val="32"/>
          <w:szCs w:val="32"/>
          <w:highlight w:val="none"/>
          <w:lang w:val="en-US"/>
        </w:rPr>
        <w:t>,</w:t>
      </w:r>
      <w:r>
        <w:rPr>
          <w:rFonts w:hint="eastAsia" w:ascii="仿宋_GB2312" w:eastAsia="仿宋_GB2312"/>
          <w:color w:val="auto"/>
          <w:sz w:val="32"/>
          <w:szCs w:val="32"/>
          <w:highlight w:val="none"/>
          <w:lang w:val="en-US" w:eastAsia="zh-CN"/>
        </w:rPr>
        <w:t>共涉及资金12，953.60万元，占一般公共预算项目支出总额的100%</w:t>
      </w:r>
      <w:r>
        <w:rPr>
          <w:rFonts w:hint="eastAsia" w:ascii="仿宋_GB2312" w:eastAsia="仿宋_GB2312"/>
          <w:color w:val="auto"/>
          <w:sz w:val="32"/>
          <w:szCs w:val="32"/>
          <w:highlight w:val="none"/>
          <w:lang w:bidi="ar"/>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组织对“陆海空”科技专项项目开展了部门评价，涉及一般公共预算支出</w:t>
      </w:r>
      <w:r>
        <w:rPr>
          <w:rFonts w:hint="eastAsia" w:ascii="仿宋_GB2312" w:eastAsia="仿宋_GB2312"/>
          <w:color w:val="auto"/>
          <w:sz w:val="32"/>
          <w:szCs w:val="32"/>
          <w:highlight w:val="none"/>
          <w:lang w:val="en-US" w:eastAsia="zh-CN"/>
        </w:rPr>
        <w:t>12,953.60</w:t>
      </w:r>
      <w:r>
        <w:rPr>
          <w:rFonts w:hint="eastAsia" w:ascii="仿宋_GB2312" w:eastAsia="仿宋_GB2312"/>
          <w:color w:val="auto"/>
          <w:sz w:val="32"/>
          <w:szCs w:val="32"/>
          <w:highlight w:val="none"/>
        </w:rPr>
        <w:t>万元，政府性基金预算支出0万元，国有资本经营预算支出0万元。从评价情况来看，立项依据充分、立项程序合规、绩效目标合理、绩效目标明确、预算编制合理、资金分配合理、资金到位及时、预算执行达序时进度、资金使用合规、管理制度基本健全、制度执行有效、项目在有序进行中。综合下来，项目整体评分</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分，评定为优秀</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（二）部门决算中项目绩效自评结果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我部门在部门决算中反映</w:t>
      </w:r>
      <w:r>
        <w:rPr>
          <w:rFonts w:hint="eastAsia" w:ascii="仿宋_GB2312" w:eastAsia="仿宋_GB2312"/>
          <w:color w:val="auto"/>
          <w:sz w:val="32"/>
          <w:szCs w:val="32"/>
          <w:highlight w:val="none"/>
          <w:lang w:val="en-US" w:eastAsia="zh-CN"/>
        </w:rPr>
        <w:t>陆海空科技专项</w:t>
      </w:r>
      <w:r>
        <w:rPr>
          <w:rFonts w:hint="eastAsia" w:ascii="仿宋_GB2312" w:eastAsia="仿宋_GB2312"/>
          <w:color w:val="auto"/>
          <w:sz w:val="32"/>
          <w:szCs w:val="32"/>
          <w:highlight w:val="none"/>
        </w:rPr>
        <w:t>项目绩效自评结果。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陆海空科技专项</w:t>
      </w:r>
      <w:r>
        <w:rPr>
          <w:rFonts w:hint="eastAsia" w:ascii="仿宋_GB2312" w:eastAsia="仿宋_GB2312"/>
          <w:color w:val="auto"/>
          <w:sz w:val="32"/>
          <w:szCs w:val="32"/>
          <w:highlight w:val="none"/>
        </w:rPr>
        <w:t>项目绩效自评表：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highlight w:val="none"/>
        </w:rPr>
      </w:pPr>
    </w:p>
    <w:tbl>
      <w:tblPr>
        <w:tblStyle w:val="8"/>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4"/>
        <w:gridCol w:w="663"/>
        <w:gridCol w:w="792"/>
        <w:gridCol w:w="594"/>
        <w:gridCol w:w="824"/>
        <w:gridCol w:w="594"/>
        <w:gridCol w:w="960"/>
        <w:gridCol w:w="966"/>
        <w:gridCol w:w="846"/>
        <w:gridCol w:w="628"/>
        <w:gridCol w:w="15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一级指标</w:t>
            </w:r>
          </w:p>
        </w:tc>
        <w:tc>
          <w:tcPr>
            <w:tcW w:w="36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二级指标</w:t>
            </w:r>
          </w:p>
        </w:tc>
        <w:tc>
          <w:tcPr>
            <w:tcW w:w="43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三级指标</w:t>
            </w:r>
          </w:p>
        </w:tc>
        <w:tc>
          <w:tcPr>
            <w:tcW w:w="330" w:type="pct"/>
            <w:tcBorders>
              <w:top w:val="single" w:color="auto" w:sz="6" w:space="0"/>
              <w:left w:val="nil"/>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指标性质</w:t>
            </w:r>
          </w:p>
        </w:tc>
        <w:tc>
          <w:tcPr>
            <w:tcW w:w="457"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年度指标值</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度量单位</w:t>
            </w:r>
          </w:p>
        </w:tc>
        <w:tc>
          <w:tcPr>
            <w:tcW w:w="50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实际完成值</w:t>
            </w:r>
          </w:p>
        </w:tc>
        <w:tc>
          <w:tcPr>
            <w:tcW w:w="534"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完成率</w:t>
            </w:r>
          </w:p>
        </w:tc>
        <w:tc>
          <w:tcPr>
            <w:tcW w:w="46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分值</w:t>
            </w:r>
          </w:p>
        </w:tc>
        <w:tc>
          <w:tcPr>
            <w:tcW w:w="34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得分</w:t>
            </w:r>
          </w:p>
        </w:tc>
        <w:tc>
          <w:tcPr>
            <w:tcW w:w="882" w:type="pct"/>
            <w:tcBorders>
              <w:top w:val="single" w:color="auto" w:sz="6" w:space="0"/>
              <w:left w:val="single" w:color="auto" w:sz="6" w:space="0"/>
              <w:bottom w:val="single" w:color="auto" w:sz="6" w:space="0"/>
              <w:right w:val="single" w:color="000000" w:sz="6" w:space="0"/>
              <w:tl2br w:val="nil"/>
              <w:tr2bl w:val="nil"/>
            </w:tcBorders>
            <w:noWrap w:val="0"/>
            <w:vAlign w:val="center"/>
          </w:tcPr>
          <w:p>
            <w:pPr>
              <w:spacing w:beforeLines="0" w:afterLines="0"/>
              <w:jc w:val="center"/>
              <w:rPr>
                <w:rFonts w:hint="eastAsia" w:ascii="等线" w:hAnsi="等线" w:eastAsia="等线"/>
                <w:b/>
                <w:color w:val="auto"/>
                <w:sz w:val="24"/>
                <w:szCs w:val="24"/>
                <w:highlight w:val="none"/>
              </w:rPr>
            </w:pPr>
            <w:r>
              <w:rPr>
                <w:rFonts w:hint="eastAsia" w:ascii="等线" w:hAnsi="等线" w:eastAsia="等线"/>
                <w:b/>
                <w:color w:val="auto"/>
                <w:sz w:val="24"/>
                <w:szCs w:val="24"/>
                <w:highlight w:val="none"/>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产出指标</w:t>
            </w:r>
          </w:p>
        </w:tc>
        <w:tc>
          <w:tcPr>
            <w:tcW w:w="36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数量指标</w:t>
            </w:r>
          </w:p>
        </w:tc>
        <w:tc>
          <w:tcPr>
            <w:tcW w:w="43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项目数量</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w:t>
            </w:r>
          </w:p>
        </w:tc>
        <w:tc>
          <w:tcPr>
            <w:tcW w:w="457"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35</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个</w:t>
            </w:r>
          </w:p>
        </w:tc>
        <w:tc>
          <w:tcPr>
            <w:tcW w:w="50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default" w:ascii="等线" w:hAnsi="等线" w:eastAsia="等线"/>
                <w:color w:val="auto"/>
                <w:sz w:val="22"/>
                <w:szCs w:val="24"/>
                <w:highlight w:val="none"/>
                <w:lang w:val="en-US" w:eastAsia="zh-CN"/>
              </w:rPr>
            </w:pPr>
            <w:r>
              <w:rPr>
                <w:rFonts w:hint="eastAsia" w:ascii="等线" w:hAnsi="等线" w:eastAsia="等线"/>
                <w:color w:val="auto"/>
                <w:sz w:val="22"/>
                <w:szCs w:val="24"/>
                <w:highlight w:val="none"/>
                <w:lang w:val="en-US" w:eastAsia="zh-CN"/>
              </w:rPr>
              <w:t>94</w:t>
            </w:r>
          </w:p>
        </w:tc>
        <w:tc>
          <w:tcPr>
            <w:tcW w:w="534"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100.00%</w:t>
            </w:r>
          </w:p>
        </w:tc>
        <w:tc>
          <w:tcPr>
            <w:tcW w:w="46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20.00</w:t>
            </w:r>
          </w:p>
        </w:tc>
        <w:tc>
          <w:tcPr>
            <w:tcW w:w="34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20</w:t>
            </w:r>
          </w:p>
        </w:tc>
        <w:tc>
          <w:tcPr>
            <w:tcW w:w="882" w:type="pct"/>
            <w:tcBorders>
              <w:top w:val="single" w:color="auto" w:sz="6" w:space="0"/>
              <w:left w:val="single" w:color="auto" w:sz="6" w:space="0"/>
              <w:bottom w:val="single" w:color="auto" w:sz="6" w:space="0"/>
              <w:right w:val="single" w:color="000000"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产出指标</w:t>
            </w:r>
          </w:p>
        </w:tc>
        <w:tc>
          <w:tcPr>
            <w:tcW w:w="36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质量指标</w:t>
            </w:r>
          </w:p>
        </w:tc>
        <w:tc>
          <w:tcPr>
            <w:tcW w:w="43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项目经费总额</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w:t>
            </w:r>
          </w:p>
        </w:tc>
        <w:tc>
          <w:tcPr>
            <w:tcW w:w="457"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default" w:ascii="等线" w:hAnsi="等线" w:eastAsia="等线"/>
                <w:color w:val="auto"/>
                <w:sz w:val="22"/>
                <w:szCs w:val="24"/>
                <w:highlight w:val="none"/>
                <w:lang w:val="en-US" w:eastAsia="zh-CN"/>
              </w:rPr>
            </w:pPr>
            <w:r>
              <w:rPr>
                <w:rFonts w:hint="eastAsia" w:ascii="等线" w:hAnsi="等线" w:eastAsia="等线"/>
                <w:color w:val="auto"/>
                <w:sz w:val="22"/>
                <w:szCs w:val="24"/>
                <w:highlight w:val="none"/>
                <w:lang w:val="en-US" w:eastAsia="zh-CN"/>
              </w:rPr>
              <w:t>5000</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万元</w:t>
            </w:r>
          </w:p>
        </w:tc>
        <w:tc>
          <w:tcPr>
            <w:tcW w:w="50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default" w:ascii="等线" w:hAnsi="等线" w:eastAsia="等线"/>
                <w:color w:val="auto"/>
                <w:sz w:val="22"/>
                <w:szCs w:val="24"/>
                <w:highlight w:val="none"/>
                <w:lang w:val="en-US" w:eastAsia="zh-CN"/>
              </w:rPr>
            </w:pPr>
            <w:r>
              <w:rPr>
                <w:rFonts w:hint="eastAsia" w:ascii="等线" w:hAnsi="等线" w:eastAsia="等线"/>
                <w:color w:val="auto"/>
                <w:sz w:val="22"/>
                <w:szCs w:val="24"/>
                <w:highlight w:val="none"/>
                <w:lang w:val="en-US" w:eastAsia="zh-CN"/>
              </w:rPr>
              <w:t>12953.6</w:t>
            </w:r>
          </w:p>
        </w:tc>
        <w:tc>
          <w:tcPr>
            <w:tcW w:w="534"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100.00%</w:t>
            </w:r>
          </w:p>
        </w:tc>
        <w:tc>
          <w:tcPr>
            <w:tcW w:w="46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20.00</w:t>
            </w:r>
          </w:p>
        </w:tc>
        <w:tc>
          <w:tcPr>
            <w:tcW w:w="34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20</w:t>
            </w:r>
          </w:p>
        </w:tc>
        <w:tc>
          <w:tcPr>
            <w:tcW w:w="882" w:type="pct"/>
            <w:tcBorders>
              <w:top w:val="single" w:color="auto" w:sz="6" w:space="0"/>
              <w:left w:val="single" w:color="auto" w:sz="6" w:space="0"/>
              <w:bottom w:val="single" w:color="auto" w:sz="6" w:space="0"/>
              <w:right w:val="single" w:color="000000"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产出指标</w:t>
            </w:r>
          </w:p>
        </w:tc>
        <w:tc>
          <w:tcPr>
            <w:tcW w:w="36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时效指标</w:t>
            </w:r>
          </w:p>
        </w:tc>
        <w:tc>
          <w:tcPr>
            <w:tcW w:w="43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经费到位率</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w:t>
            </w:r>
          </w:p>
        </w:tc>
        <w:tc>
          <w:tcPr>
            <w:tcW w:w="457"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95</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w:t>
            </w:r>
          </w:p>
        </w:tc>
        <w:tc>
          <w:tcPr>
            <w:tcW w:w="50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95</w:t>
            </w:r>
          </w:p>
        </w:tc>
        <w:tc>
          <w:tcPr>
            <w:tcW w:w="534"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100.00%</w:t>
            </w:r>
          </w:p>
        </w:tc>
        <w:tc>
          <w:tcPr>
            <w:tcW w:w="46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20.00</w:t>
            </w:r>
          </w:p>
        </w:tc>
        <w:tc>
          <w:tcPr>
            <w:tcW w:w="34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20</w:t>
            </w:r>
          </w:p>
        </w:tc>
        <w:tc>
          <w:tcPr>
            <w:tcW w:w="882" w:type="pct"/>
            <w:tcBorders>
              <w:top w:val="single" w:color="auto" w:sz="6" w:space="0"/>
              <w:left w:val="single" w:color="auto" w:sz="6" w:space="0"/>
              <w:bottom w:val="single" w:color="auto" w:sz="6" w:space="0"/>
              <w:right w:val="single" w:color="000000"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效益指标</w:t>
            </w:r>
          </w:p>
        </w:tc>
        <w:tc>
          <w:tcPr>
            <w:tcW w:w="36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经济效益指标</w:t>
            </w:r>
          </w:p>
        </w:tc>
        <w:tc>
          <w:tcPr>
            <w:tcW w:w="43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申请专利数量</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w:t>
            </w:r>
          </w:p>
        </w:tc>
        <w:tc>
          <w:tcPr>
            <w:tcW w:w="457"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5</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项</w:t>
            </w:r>
          </w:p>
        </w:tc>
        <w:tc>
          <w:tcPr>
            <w:tcW w:w="50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lang w:eastAsia="zh-CN"/>
              </w:rPr>
            </w:pPr>
            <w:r>
              <w:rPr>
                <w:rFonts w:hint="eastAsia" w:ascii="等线" w:hAnsi="等线" w:eastAsia="等线"/>
                <w:color w:val="auto"/>
                <w:sz w:val="22"/>
                <w:szCs w:val="24"/>
                <w:highlight w:val="none"/>
                <w:lang w:val="en-US" w:eastAsia="zh-CN"/>
              </w:rPr>
              <w:t>5</w:t>
            </w:r>
          </w:p>
        </w:tc>
        <w:tc>
          <w:tcPr>
            <w:tcW w:w="534"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60.00%</w:t>
            </w:r>
          </w:p>
        </w:tc>
        <w:tc>
          <w:tcPr>
            <w:tcW w:w="46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10.00</w:t>
            </w:r>
          </w:p>
        </w:tc>
        <w:tc>
          <w:tcPr>
            <w:tcW w:w="34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default" w:ascii="等线" w:hAnsi="等线" w:eastAsia="等线"/>
                <w:color w:val="auto"/>
                <w:sz w:val="22"/>
                <w:szCs w:val="24"/>
                <w:highlight w:val="none"/>
                <w:lang w:val="en-US" w:eastAsia="zh-CN"/>
              </w:rPr>
            </w:pPr>
            <w:r>
              <w:rPr>
                <w:rFonts w:hint="eastAsia" w:ascii="等线" w:hAnsi="等线" w:eastAsia="等线"/>
                <w:color w:val="auto"/>
                <w:sz w:val="22"/>
                <w:szCs w:val="24"/>
                <w:highlight w:val="none"/>
                <w:lang w:val="en-US" w:eastAsia="zh-CN"/>
              </w:rPr>
              <w:t>10</w:t>
            </w:r>
          </w:p>
        </w:tc>
        <w:tc>
          <w:tcPr>
            <w:tcW w:w="882" w:type="pct"/>
            <w:tcBorders>
              <w:top w:val="single" w:color="auto" w:sz="6" w:space="0"/>
              <w:left w:val="single" w:color="auto" w:sz="6" w:space="0"/>
              <w:bottom w:val="single" w:color="auto" w:sz="6" w:space="0"/>
              <w:right w:val="single" w:color="000000"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效益指标</w:t>
            </w:r>
          </w:p>
        </w:tc>
        <w:tc>
          <w:tcPr>
            <w:tcW w:w="36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社会效益指标</w:t>
            </w:r>
          </w:p>
        </w:tc>
        <w:tc>
          <w:tcPr>
            <w:tcW w:w="43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共享平台及技术体系</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w:t>
            </w:r>
          </w:p>
        </w:tc>
        <w:tc>
          <w:tcPr>
            <w:tcW w:w="457"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lang w:eastAsia="zh-CN"/>
              </w:rPr>
            </w:pPr>
            <w:r>
              <w:rPr>
                <w:rFonts w:hint="eastAsia" w:ascii="等线" w:hAnsi="等线" w:eastAsia="等线"/>
                <w:color w:val="auto"/>
                <w:sz w:val="22"/>
                <w:szCs w:val="24"/>
                <w:highlight w:val="none"/>
                <w:lang w:val="en-US" w:eastAsia="zh-CN"/>
              </w:rPr>
              <w:t>1</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个</w:t>
            </w:r>
          </w:p>
        </w:tc>
        <w:tc>
          <w:tcPr>
            <w:tcW w:w="50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lang w:eastAsia="zh-CN"/>
              </w:rPr>
            </w:pPr>
            <w:r>
              <w:rPr>
                <w:rFonts w:hint="eastAsia" w:ascii="等线" w:hAnsi="等线" w:eastAsia="等线"/>
                <w:color w:val="auto"/>
                <w:sz w:val="22"/>
                <w:szCs w:val="24"/>
                <w:highlight w:val="none"/>
                <w:lang w:val="en-US" w:eastAsia="zh-CN"/>
              </w:rPr>
              <w:t>2</w:t>
            </w:r>
          </w:p>
        </w:tc>
        <w:tc>
          <w:tcPr>
            <w:tcW w:w="534"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100.00%</w:t>
            </w:r>
          </w:p>
        </w:tc>
        <w:tc>
          <w:tcPr>
            <w:tcW w:w="46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10.00</w:t>
            </w:r>
          </w:p>
        </w:tc>
        <w:tc>
          <w:tcPr>
            <w:tcW w:w="34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10</w:t>
            </w:r>
          </w:p>
        </w:tc>
        <w:tc>
          <w:tcPr>
            <w:tcW w:w="882" w:type="pct"/>
            <w:tcBorders>
              <w:top w:val="single" w:color="auto" w:sz="6" w:space="0"/>
              <w:left w:val="single" w:color="auto" w:sz="6" w:space="0"/>
              <w:bottom w:val="single" w:color="auto" w:sz="6" w:space="0"/>
              <w:right w:val="single" w:color="000000"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效益指标</w:t>
            </w:r>
          </w:p>
        </w:tc>
        <w:tc>
          <w:tcPr>
            <w:tcW w:w="36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可持续影响</w:t>
            </w:r>
          </w:p>
        </w:tc>
        <w:tc>
          <w:tcPr>
            <w:tcW w:w="43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培养博后人才</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w:t>
            </w:r>
          </w:p>
        </w:tc>
        <w:tc>
          <w:tcPr>
            <w:tcW w:w="457"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default" w:ascii="等线" w:hAnsi="等线" w:eastAsia="等线"/>
                <w:color w:val="auto"/>
                <w:sz w:val="22"/>
                <w:szCs w:val="24"/>
                <w:highlight w:val="none"/>
                <w:lang w:val="en-US" w:eastAsia="zh-CN"/>
              </w:rPr>
            </w:pPr>
            <w:r>
              <w:rPr>
                <w:rFonts w:hint="eastAsia" w:ascii="等线" w:hAnsi="等线" w:eastAsia="等线"/>
                <w:color w:val="auto"/>
                <w:sz w:val="22"/>
                <w:szCs w:val="24"/>
                <w:highlight w:val="none"/>
                <w:lang w:val="en-US" w:eastAsia="zh-CN"/>
              </w:rPr>
              <w:t>50</w:t>
            </w:r>
          </w:p>
        </w:tc>
        <w:tc>
          <w:tcPr>
            <w:tcW w:w="330"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人</w:t>
            </w:r>
          </w:p>
        </w:tc>
        <w:tc>
          <w:tcPr>
            <w:tcW w:w="50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default" w:ascii="等线" w:hAnsi="等线" w:eastAsia="等线"/>
                <w:color w:val="auto"/>
                <w:sz w:val="22"/>
                <w:szCs w:val="24"/>
                <w:highlight w:val="none"/>
                <w:lang w:val="en-US" w:eastAsia="zh-CN"/>
              </w:rPr>
            </w:pPr>
            <w:r>
              <w:rPr>
                <w:rFonts w:hint="eastAsia" w:ascii="等线" w:hAnsi="等线" w:eastAsia="等线"/>
                <w:color w:val="auto"/>
                <w:sz w:val="22"/>
                <w:szCs w:val="24"/>
                <w:highlight w:val="none"/>
                <w:lang w:val="en-US" w:eastAsia="zh-CN"/>
              </w:rPr>
              <w:t>64</w:t>
            </w:r>
          </w:p>
        </w:tc>
        <w:tc>
          <w:tcPr>
            <w:tcW w:w="534"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75.00%</w:t>
            </w:r>
          </w:p>
        </w:tc>
        <w:tc>
          <w:tcPr>
            <w:tcW w:w="46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10.00</w:t>
            </w:r>
          </w:p>
        </w:tc>
        <w:tc>
          <w:tcPr>
            <w:tcW w:w="34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default" w:ascii="等线" w:hAnsi="等线" w:eastAsia="等线"/>
                <w:color w:val="auto"/>
                <w:sz w:val="22"/>
                <w:szCs w:val="24"/>
                <w:highlight w:val="none"/>
                <w:lang w:val="en-US" w:eastAsia="zh-CN"/>
              </w:rPr>
            </w:pPr>
            <w:r>
              <w:rPr>
                <w:rFonts w:hint="eastAsia" w:ascii="等线" w:hAnsi="等线" w:eastAsia="等线"/>
                <w:color w:val="auto"/>
                <w:sz w:val="22"/>
                <w:szCs w:val="24"/>
                <w:highlight w:val="none"/>
                <w:lang w:val="en-US" w:eastAsia="zh-CN"/>
              </w:rPr>
              <w:t>10</w:t>
            </w:r>
          </w:p>
        </w:tc>
        <w:tc>
          <w:tcPr>
            <w:tcW w:w="882" w:type="pct"/>
            <w:tcBorders>
              <w:top w:val="single" w:color="auto" w:sz="6" w:space="0"/>
              <w:left w:val="single" w:color="auto" w:sz="6" w:space="0"/>
              <w:bottom w:val="single" w:color="auto" w:sz="6" w:space="0"/>
              <w:right w:val="single" w:color="000000"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298" w:type="pct"/>
            <w:gridSpan w:val="8"/>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合计</w:t>
            </w:r>
          </w:p>
        </w:tc>
        <w:tc>
          <w:tcPr>
            <w:tcW w:w="469"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r>
              <w:rPr>
                <w:rFonts w:hint="eastAsia" w:ascii="等线" w:hAnsi="等线" w:eastAsia="等线"/>
                <w:color w:val="auto"/>
                <w:sz w:val="22"/>
                <w:szCs w:val="24"/>
                <w:highlight w:val="none"/>
              </w:rPr>
              <w:t>100.00</w:t>
            </w:r>
          </w:p>
        </w:tc>
        <w:tc>
          <w:tcPr>
            <w:tcW w:w="348" w:type="pct"/>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default" w:ascii="等线" w:hAnsi="等线" w:eastAsia="等线"/>
                <w:color w:val="auto"/>
                <w:sz w:val="22"/>
                <w:szCs w:val="24"/>
                <w:highlight w:val="none"/>
                <w:lang w:val="en-US" w:eastAsia="zh-CN"/>
              </w:rPr>
            </w:pPr>
            <w:r>
              <w:rPr>
                <w:rFonts w:hint="eastAsia" w:ascii="等线" w:hAnsi="等线" w:eastAsia="等线"/>
                <w:color w:val="auto"/>
                <w:sz w:val="22"/>
                <w:szCs w:val="24"/>
                <w:highlight w:val="none"/>
                <w:lang w:val="en-US" w:eastAsia="zh-CN"/>
              </w:rPr>
              <w:t>100</w:t>
            </w:r>
          </w:p>
        </w:tc>
        <w:tc>
          <w:tcPr>
            <w:tcW w:w="882" w:type="pct"/>
            <w:tcBorders>
              <w:top w:val="single" w:color="auto" w:sz="6" w:space="0"/>
              <w:left w:val="single" w:color="auto" w:sz="6" w:space="0"/>
              <w:bottom w:val="single" w:color="000000" w:sz="6" w:space="0"/>
              <w:right w:val="single" w:color="000000" w:sz="6" w:space="0"/>
              <w:tl2br w:val="nil"/>
              <w:tr2bl w:val="nil"/>
            </w:tcBorders>
            <w:noWrap w:val="0"/>
            <w:vAlign w:val="center"/>
          </w:tcPr>
          <w:p>
            <w:pPr>
              <w:spacing w:beforeLines="0" w:afterLines="0"/>
              <w:jc w:val="center"/>
              <w:rPr>
                <w:rFonts w:hint="eastAsia" w:ascii="等线" w:hAnsi="等线" w:eastAsia="等线"/>
                <w:color w:val="auto"/>
                <w:sz w:val="22"/>
                <w:szCs w:val="24"/>
                <w:highlight w:val="none"/>
              </w:rPr>
            </w:pPr>
          </w:p>
        </w:tc>
      </w:tr>
    </w:tbl>
    <w:p>
      <w:pPr>
        <w:spacing w:line="578" w:lineRule="exact"/>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陆海空科技专项</w:t>
      </w:r>
      <w:r>
        <w:rPr>
          <w:rFonts w:hint="eastAsia" w:ascii="仿宋_GB2312" w:eastAsia="仿宋_GB2312"/>
          <w:color w:val="auto"/>
          <w:sz w:val="32"/>
          <w:szCs w:val="32"/>
          <w:highlight w:val="none"/>
        </w:rPr>
        <w:t>项目绩效自评报告：根据年初设定的绩效目标，项目绩效自评得分为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分。全年预算数为</w:t>
      </w:r>
      <w:r>
        <w:rPr>
          <w:rFonts w:hint="eastAsia" w:ascii="仿宋_GB2312" w:eastAsia="仿宋_GB2312"/>
          <w:color w:val="auto"/>
          <w:sz w:val="32"/>
          <w:szCs w:val="32"/>
          <w:highlight w:val="none"/>
          <w:lang w:val="en-US" w:eastAsia="zh-CN"/>
        </w:rPr>
        <w:t>12,953.60</w:t>
      </w:r>
      <w:r>
        <w:rPr>
          <w:rFonts w:hint="eastAsia" w:ascii="仿宋_GB2312" w:eastAsia="仿宋_GB2312"/>
          <w:color w:val="auto"/>
          <w:sz w:val="32"/>
          <w:szCs w:val="32"/>
          <w:highlight w:val="none"/>
        </w:rPr>
        <w:t>万元，执行数为</w:t>
      </w:r>
      <w:r>
        <w:rPr>
          <w:rFonts w:hint="eastAsia" w:ascii="仿宋_GB2312" w:eastAsia="仿宋_GB2312"/>
          <w:color w:val="auto"/>
          <w:sz w:val="32"/>
          <w:szCs w:val="32"/>
          <w:highlight w:val="none"/>
          <w:lang w:val="en-US" w:eastAsia="zh-CN"/>
        </w:rPr>
        <w:t>12,953.60</w:t>
      </w:r>
      <w:r>
        <w:rPr>
          <w:rFonts w:hint="eastAsia" w:ascii="仿宋_GB2312" w:eastAsia="仿宋_GB2312"/>
          <w:color w:val="auto"/>
          <w:sz w:val="32"/>
          <w:szCs w:val="32"/>
          <w:highlight w:val="none"/>
        </w:rPr>
        <w:t>万元，完成预算的</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%。项目绩效目标完成情况：</w:t>
      </w:r>
    </w:p>
    <w:p>
      <w:pPr>
        <w:pStyle w:val="3"/>
        <w:spacing w:before="98" w:line="320" w:lineRule="auto"/>
        <w:ind w:left="155" w:right="125" w:firstLine="65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12"/>
          <w:sz w:val="32"/>
          <w:szCs w:val="32"/>
          <w:highlight w:val="none"/>
        </w:rPr>
        <w:t>2024年，在海南省各级党委和政府的领导、</w:t>
      </w:r>
      <w:r>
        <w:rPr>
          <w:rFonts w:hint="eastAsia" w:ascii="仿宋_GB2312" w:hAnsi="仿宋_GB2312" w:eastAsia="仿宋_GB2312" w:cs="仿宋_GB2312"/>
          <w:color w:val="auto"/>
          <w:spacing w:val="11"/>
          <w:sz w:val="32"/>
          <w:szCs w:val="32"/>
          <w:highlight w:val="none"/>
        </w:rPr>
        <w:t>关心和支持</w:t>
      </w:r>
      <w:r>
        <w:rPr>
          <w:rFonts w:hint="eastAsia" w:ascii="仿宋_GB2312" w:hAnsi="仿宋_GB2312" w:eastAsia="仿宋_GB2312" w:cs="仿宋_GB2312"/>
          <w:color w:val="auto"/>
          <w:spacing w:val="7"/>
          <w:sz w:val="32"/>
          <w:szCs w:val="32"/>
          <w:highlight w:val="none"/>
        </w:rPr>
        <w:t>下，省实验室主要紧紧围绕“陆海空”科技专项任务书核心任务，通过科技创新体系的构建、强化科研基础能力、实施</w:t>
      </w:r>
      <w:r>
        <w:rPr>
          <w:rFonts w:hint="eastAsia" w:ascii="仿宋_GB2312" w:hAnsi="仿宋_GB2312" w:eastAsia="仿宋_GB2312" w:cs="仿宋_GB2312"/>
          <w:color w:val="auto"/>
          <w:spacing w:val="8"/>
          <w:sz w:val="32"/>
          <w:szCs w:val="32"/>
          <w:highlight w:val="none"/>
        </w:rPr>
        <w:t>人才强基工程、深化产学研融合等举措，在实验室全体成员</w:t>
      </w:r>
      <w:r>
        <w:rPr>
          <w:rFonts w:hint="eastAsia" w:ascii="仿宋_GB2312" w:hAnsi="仿宋_GB2312" w:eastAsia="仿宋_GB2312" w:cs="仿宋_GB2312"/>
          <w:color w:val="auto"/>
          <w:spacing w:val="7"/>
          <w:sz w:val="32"/>
          <w:szCs w:val="32"/>
          <w:highlight w:val="none"/>
        </w:rPr>
        <w:t>和各成员单位的不懈努力下，种业实验室的科研保障能力得</w:t>
      </w:r>
      <w:r>
        <w:rPr>
          <w:rFonts w:hint="eastAsia" w:ascii="仿宋_GB2312" w:hAnsi="仿宋_GB2312" w:eastAsia="仿宋_GB2312" w:cs="仿宋_GB2312"/>
          <w:color w:val="auto"/>
          <w:spacing w:val="5"/>
          <w:sz w:val="32"/>
          <w:szCs w:val="32"/>
          <w:highlight w:val="none"/>
        </w:rPr>
        <w:t>到了显著提升，科研工作也取得了初步成效。</w:t>
      </w:r>
    </w:p>
    <w:p>
      <w:pPr>
        <w:keepNext w:val="0"/>
        <w:keepLines w:val="0"/>
        <w:pageBreakBefore w:val="0"/>
        <w:widowControl w:val="0"/>
        <w:numPr>
          <w:ilvl w:val="0"/>
          <w:numId w:val="4"/>
        </w:numPr>
        <w:kinsoku/>
        <w:wordWrap/>
        <w:overflowPunct/>
        <w:topLinePunct w:val="0"/>
        <w:autoSpaceDE/>
        <w:autoSpaceDN/>
        <w:bidi w:val="0"/>
        <w:adjustRightInd/>
        <w:snapToGrid/>
        <w:spacing w:line="578" w:lineRule="exact"/>
        <w:ind w:firstLine="664"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6"/>
          <w:sz w:val="32"/>
          <w:szCs w:val="32"/>
          <w:highlight w:val="none"/>
        </w:rPr>
        <w:t>完成组织架构、团队建设及机制体制建设，初步建成</w:t>
      </w:r>
      <w:r>
        <w:rPr>
          <w:rFonts w:hint="eastAsia" w:ascii="仿宋_GB2312" w:hAnsi="仿宋_GB2312" w:eastAsia="仿宋_GB2312" w:cs="仿宋_GB2312"/>
          <w:color w:val="auto"/>
          <w:spacing w:val="-1"/>
          <w:sz w:val="32"/>
          <w:szCs w:val="32"/>
          <w:highlight w:val="none"/>
        </w:rPr>
        <w:t>仪器共享平台；</w:t>
      </w:r>
    </w:p>
    <w:p>
      <w:pPr>
        <w:keepNext w:val="0"/>
        <w:keepLines w:val="0"/>
        <w:pageBreakBefore w:val="0"/>
        <w:widowControl w:val="0"/>
        <w:numPr>
          <w:ilvl w:val="0"/>
          <w:numId w:val="4"/>
        </w:numPr>
        <w:kinsoku/>
        <w:wordWrap/>
        <w:overflowPunct/>
        <w:topLinePunct w:val="0"/>
        <w:autoSpaceDE/>
        <w:autoSpaceDN/>
        <w:bidi w:val="0"/>
        <w:adjustRightInd/>
        <w:snapToGrid/>
        <w:spacing w:line="578" w:lineRule="exact"/>
        <w:ind w:left="0" w:leftChars="0"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rPr>
        <w:t>保障国家实验室的高效运行；</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rPr>
        <w:t>3. 推进水产种业科技任务攻关，组织实施一批科技项目，服务一批龙头企业、基地。</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rPr>
        <w:t>2024年度目标：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 </w:t>
      </w:r>
      <w:r>
        <w:rPr>
          <w:rFonts w:hint="eastAsia" w:ascii="仿宋_GB2312" w:hAnsi="仿宋_GB2312" w:eastAsia="仿宋_GB2312" w:cs="仿宋_GB2312"/>
          <w:color w:val="auto"/>
          <w:spacing w:val="-1"/>
          <w:sz w:val="32"/>
          <w:szCs w:val="32"/>
          <w:highlight w:val="none"/>
        </w:rPr>
        <w:t>经费到位率≥95%;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2. </w:t>
      </w:r>
      <w:r>
        <w:rPr>
          <w:rFonts w:hint="eastAsia" w:ascii="仿宋_GB2312" w:hAnsi="仿宋_GB2312" w:eastAsia="仿宋_GB2312" w:cs="仿宋_GB2312"/>
          <w:color w:val="auto"/>
          <w:spacing w:val="-1"/>
          <w:sz w:val="32"/>
          <w:szCs w:val="32"/>
          <w:highlight w:val="none"/>
        </w:rPr>
        <w:t>支持自由探索类基础研究项目≥5;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3. </w:t>
      </w:r>
      <w:r>
        <w:rPr>
          <w:rFonts w:hint="eastAsia" w:ascii="仿宋_GB2312" w:hAnsi="仿宋_GB2312" w:eastAsia="仿宋_GB2312" w:cs="仿宋_GB2312"/>
          <w:color w:val="auto"/>
          <w:spacing w:val="-1"/>
          <w:sz w:val="32"/>
          <w:szCs w:val="32"/>
          <w:highlight w:val="none"/>
        </w:rPr>
        <w:t>部署冯家湾项目≥4;</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4. </w:t>
      </w:r>
      <w:r>
        <w:rPr>
          <w:rFonts w:hint="eastAsia" w:ascii="仿宋_GB2312" w:hAnsi="仿宋_GB2312" w:eastAsia="仿宋_GB2312" w:cs="仿宋_GB2312"/>
          <w:color w:val="auto"/>
          <w:spacing w:val="-1"/>
          <w:sz w:val="32"/>
          <w:szCs w:val="32"/>
          <w:highlight w:val="none"/>
        </w:rPr>
        <w:t>项目数量≥35;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5. </w:t>
      </w:r>
      <w:r>
        <w:rPr>
          <w:rFonts w:hint="eastAsia" w:ascii="仿宋_GB2312" w:hAnsi="仿宋_GB2312" w:eastAsia="仿宋_GB2312" w:cs="仿宋_GB2312"/>
          <w:color w:val="auto"/>
          <w:spacing w:val="-1"/>
          <w:sz w:val="32"/>
          <w:szCs w:val="32"/>
          <w:highlight w:val="none"/>
        </w:rPr>
        <w:t>设置科技特派员基地项目≥20;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6. </w:t>
      </w:r>
      <w:r>
        <w:rPr>
          <w:rFonts w:hint="eastAsia" w:ascii="仿宋_GB2312" w:hAnsi="仿宋_GB2312" w:eastAsia="仿宋_GB2312" w:cs="仿宋_GB2312"/>
          <w:color w:val="auto"/>
          <w:spacing w:val="-1"/>
          <w:sz w:val="32"/>
          <w:szCs w:val="32"/>
          <w:highlight w:val="none"/>
        </w:rPr>
        <w:t>推进院士创新团队建设≥3;</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7. </w:t>
      </w:r>
      <w:r>
        <w:rPr>
          <w:rFonts w:hint="eastAsia" w:ascii="仿宋_GB2312" w:hAnsi="仿宋_GB2312" w:eastAsia="仿宋_GB2312" w:cs="仿宋_GB2312"/>
          <w:color w:val="auto"/>
          <w:spacing w:val="-1"/>
          <w:sz w:val="32"/>
          <w:szCs w:val="32"/>
          <w:highlight w:val="none"/>
        </w:rPr>
        <w:t>组建科研团队≥3;</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8. </w:t>
      </w:r>
      <w:r>
        <w:rPr>
          <w:rFonts w:hint="eastAsia" w:ascii="仿宋_GB2312" w:hAnsi="仿宋_GB2312" w:eastAsia="仿宋_GB2312" w:cs="仿宋_GB2312"/>
          <w:color w:val="auto"/>
          <w:spacing w:val="-1"/>
          <w:sz w:val="32"/>
          <w:szCs w:val="32"/>
          <w:highlight w:val="none"/>
        </w:rPr>
        <w:t>培养博士后人才≥29;</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9. </w:t>
      </w:r>
      <w:r>
        <w:rPr>
          <w:rFonts w:hint="eastAsia" w:ascii="仿宋_GB2312" w:hAnsi="仿宋_GB2312" w:eastAsia="仿宋_GB2312" w:cs="仿宋_GB2312"/>
          <w:color w:val="auto"/>
          <w:spacing w:val="-1"/>
          <w:sz w:val="32"/>
          <w:szCs w:val="32"/>
          <w:highlight w:val="none"/>
        </w:rPr>
        <w:t>申请专利数量≥5;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10. </w:t>
      </w:r>
      <w:r>
        <w:rPr>
          <w:rFonts w:hint="eastAsia" w:ascii="仿宋_GB2312" w:hAnsi="仿宋_GB2312" w:eastAsia="仿宋_GB2312" w:cs="仿宋_GB2312"/>
          <w:color w:val="auto"/>
          <w:spacing w:val="-1"/>
          <w:sz w:val="32"/>
          <w:szCs w:val="32"/>
          <w:highlight w:val="none"/>
        </w:rPr>
        <w:t>项目经费总额≥9000;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11.</w:t>
      </w:r>
      <w:r>
        <w:rPr>
          <w:rFonts w:hint="eastAsia" w:ascii="仿宋_GB2312" w:hAnsi="仿宋_GB2312" w:eastAsia="仿宋_GB2312" w:cs="仿宋_GB2312"/>
          <w:color w:val="auto"/>
          <w:spacing w:val="-1"/>
          <w:sz w:val="32"/>
          <w:szCs w:val="32"/>
          <w:highlight w:val="none"/>
        </w:rPr>
        <w:t xml:space="preserve"> 共享平台及技术体系≥10;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12.</w:t>
      </w:r>
      <w:r>
        <w:rPr>
          <w:rFonts w:hint="eastAsia" w:ascii="仿宋_GB2312" w:hAnsi="仿宋_GB2312" w:eastAsia="仿宋_GB2312" w:cs="仿宋_GB2312"/>
          <w:color w:val="auto"/>
          <w:spacing w:val="-1"/>
          <w:sz w:val="32"/>
          <w:szCs w:val="32"/>
          <w:highlight w:val="none"/>
        </w:rPr>
        <w:t xml:space="preserve"> 支持高新技术企业数量≥3;</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13.</w:t>
      </w:r>
      <w:r>
        <w:rPr>
          <w:rFonts w:hint="eastAsia" w:ascii="仿宋_GB2312" w:hAnsi="仿宋_GB2312" w:eastAsia="仿宋_GB2312" w:cs="仿宋_GB2312"/>
          <w:color w:val="auto"/>
          <w:spacing w:val="-1"/>
          <w:sz w:val="32"/>
          <w:szCs w:val="32"/>
          <w:highlight w:val="none"/>
        </w:rPr>
        <w:t xml:space="preserve"> 支持科技型中小企业数量≥4;</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14.</w:t>
      </w:r>
      <w:r>
        <w:rPr>
          <w:rFonts w:hint="eastAsia" w:ascii="仿宋_GB2312" w:hAnsi="仿宋_GB2312" w:eastAsia="仿宋_GB2312" w:cs="仿宋_GB2312"/>
          <w:color w:val="auto"/>
          <w:spacing w:val="-1"/>
          <w:sz w:val="32"/>
          <w:szCs w:val="32"/>
          <w:highlight w:val="none"/>
        </w:rPr>
        <w:t xml:space="preserve"> 提供技术咨询/技术服务数量≥90;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15. </w:t>
      </w:r>
      <w:r>
        <w:rPr>
          <w:rFonts w:hint="eastAsia" w:ascii="仿宋_GB2312" w:hAnsi="仿宋_GB2312" w:eastAsia="仿宋_GB2312" w:cs="仿宋_GB2312"/>
          <w:color w:val="auto"/>
          <w:spacing w:val="-1"/>
          <w:sz w:val="32"/>
          <w:szCs w:val="32"/>
          <w:highlight w:val="none"/>
        </w:rPr>
        <w:t>培训从事技术创新服务人员数量≥90;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16. </w:t>
      </w:r>
      <w:r>
        <w:rPr>
          <w:rFonts w:hint="eastAsia" w:ascii="仿宋_GB2312" w:hAnsi="仿宋_GB2312" w:eastAsia="仿宋_GB2312" w:cs="仿宋_GB2312"/>
          <w:color w:val="auto"/>
          <w:spacing w:val="-1"/>
          <w:sz w:val="32"/>
          <w:szCs w:val="32"/>
          <w:highlight w:val="none"/>
        </w:rPr>
        <w:t>被服务对象满意度≥90。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rPr>
        <w:t>当年年度目标完成情况：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 </w:t>
      </w:r>
      <w:r>
        <w:rPr>
          <w:rFonts w:hint="eastAsia" w:ascii="仿宋_GB2312" w:hAnsi="仿宋_GB2312" w:eastAsia="仿宋_GB2312" w:cs="仿宋_GB2312"/>
          <w:color w:val="auto"/>
          <w:spacing w:val="-1"/>
          <w:sz w:val="32"/>
          <w:szCs w:val="32"/>
          <w:highlight w:val="none"/>
        </w:rPr>
        <w:t>经费到位率≥95%,当年已达到100%,完成目标；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2. </w:t>
      </w:r>
      <w:r>
        <w:rPr>
          <w:rFonts w:hint="eastAsia" w:ascii="仿宋_GB2312" w:hAnsi="仿宋_GB2312" w:eastAsia="仿宋_GB2312" w:cs="仿宋_GB2312"/>
          <w:color w:val="auto"/>
          <w:spacing w:val="-1"/>
          <w:sz w:val="32"/>
          <w:szCs w:val="32"/>
          <w:highlight w:val="none"/>
        </w:rPr>
        <w:t>支持自由探索类基础研究项目5个，完成目标；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3. </w:t>
      </w:r>
      <w:r>
        <w:rPr>
          <w:rFonts w:hint="eastAsia" w:ascii="仿宋_GB2312" w:hAnsi="仿宋_GB2312" w:eastAsia="仿宋_GB2312" w:cs="仿宋_GB2312"/>
          <w:color w:val="auto"/>
          <w:spacing w:val="-1"/>
          <w:sz w:val="32"/>
          <w:szCs w:val="32"/>
          <w:highlight w:val="none"/>
        </w:rPr>
        <w:t>部署冯家湾项目≥4个，当年已部署7个，超额完成目标；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4. </w:t>
      </w:r>
      <w:r>
        <w:rPr>
          <w:rFonts w:hint="eastAsia" w:ascii="仿宋_GB2312" w:hAnsi="仿宋_GB2312" w:eastAsia="仿宋_GB2312" w:cs="仿宋_GB2312"/>
          <w:color w:val="auto"/>
          <w:spacing w:val="-1"/>
          <w:sz w:val="32"/>
          <w:szCs w:val="32"/>
          <w:highlight w:val="none"/>
        </w:rPr>
        <w:t>项目数量≥35个，当年项目数量已达95个，超额完成目标；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5. </w:t>
      </w:r>
      <w:r>
        <w:rPr>
          <w:rFonts w:hint="eastAsia" w:ascii="仿宋_GB2312" w:hAnsi="仿宋_GB2312" w:eastAsia="仿宋_GB2312" w:cs="仿宋_GB2312"/>
          <w:color w:val="auto"/>
          <w:spacing w:val="-1"/>
          <w:sz w:val="32"/>
          <w:szCs w:val="32"/>
          <w:highlight w:val="none"/>
        </w:rPr>
        <w:t>设置科技特派员基地项目≥20个，完成目标；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6. </w:t>
      </w:r>
      <w:r>
        <w:rPr>
          <w:rFonts w:hint="eastAsia" w:ascii="仿宋_GB2312" w:hAnsi="仿宋_GB2312" w:eastAsia="仿宋_GB2312" w:cs="仿宋_GB2312"/>
          <w:color w:val="auto"/>
          <w:spacing w:val="-1"/>
          <w:sz w:val="32"/>
          <w:szCs w:val="32"/>
          <w:highlight w:val="none"/>
        </w:rPr>
        <w:t>推进院士创新团队建设≥3个，已新建6个，超额完成目标；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7. </w:t>
      </w:r>
      <w:r>
        <w:rPr>
          <w:rFonts w:hint="eastAsia" w:ascii="仿宋_GB2312" w:hAnsi="仿宋_GB2312" w:eastAsia="仿宋_GB2312" w:cs="仿宋_GB2312"/>
          <w:color w:val="auto"/>
          <w:spacing w:val="-1"/>
          <w:sz w:val="32"/>
          <w:szCs w:val="32"/>
          <w:highlight w:val="none"/>
        </w:rPr>
        <w:t>组建科研团队≥3个，已组建7个，超额完成目标；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8.</w:t>
      </w:r>
      <w:r>
        <w:rPr>
          <w:rFonts w:hint="eastAsia" w:ascii="仿宋_GB2312" w:hAnsi="仿宋_GB2312" w:eastAsia="仿宋_GB2312" w:cs="仿宋_GB2312"/>
          <w:color w:val="auto"/>
          <w:spacing w:val="-1"/>
          <w:sz w:val="32"/>
          <w:szCs w:val="32"/>
          <w:highlight w:val="none"/>
        </w:rPr>
        <w:t xml:space="preserve"> 培养博士后人才≥</w:t>
      </w:r>
      <w:r>
        <w:rPr>
          <w:rFonts w:hint="eastAsia" w:ascii="仿宋_GB2312" w:hAnsi="仿宋_GB2312" w:eastAsia="仿宋_GB2312" w:cs="仿宋_GB2312"/>
          <w:color w:val="auto"/>
          <w:spacing w:val="-1"/>
          <w:sz w:val="32"/>
          <w:szCs w:val="32"/>
          <w:highlight w:val="none"/>
          <w:lang w:val="en-US" w:eastAsia="zh-CN"/>
        </w:rPr>
        <w:t>50</w:t>
      </w:r>
      <w:r>
        <w:rPr>
          <w:rFonts w:hint="eastAsia" w:ascii="仿宋_GB2312" w:hAnsi="仿宋_GB2312" w:eastAsia="仿宋_GB2312" w:cs="仿宋_GB2312"/>
          <w:color w:val="auto"/>
          <w:spacing w:val="-1"/>
          <w:sz w:val="32"/>
          <w:szCs w:val="32"/>
          <w:highlight w:val="none"/>
        </w:rPr>
        <w:t>人，当年已培养64人，超额完成目标；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9. </w:t>
      </w:r>
      <w:r>
        <w:rPr>
          <w:rFonts w:hint="eastAsia" w:ascii="仿宋_GB2312" w:hAnsi="仿宋_GB2312" w:eastAsia="仿宋_GB2312" w:cs="仿宋_GB2312"/>
          <w:color w:val="auto"/>
          <w:spacing w:val="-1"/>
          <w:sz w:val="32"/>
          <w:szCs w:val="32"/>
          <w:highlight w:val="none"/>
        </w:rPr>
        <w:t>申请专利数量≥5项，当年提交申请专利4项，获批专利4项，完成目标；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10. </w:t>
      </w:r>
      <w:r>
        <w:rPr>
          <w:rFonts w:hint="eastAsia" w:ascii="仿宋_GB2312" w:hAnsi="仿宋_GB2312" w:eastAsia="仿宋_GB2312" w:cs="仿宋_GB2312"/>
          <w:color w:val="auto"/>
          <w:spacing w:val="-1"/>
          <w:sz w:val="32"/>
          <w:szCs w:val="32"/>
          <w:highlight w:val="none"/>
        </w:rPr>
        <w:t>项目经费总额≥9000万元，当年已使用6553.46万元；</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11. </w:t>
      </w:r>
      <w:r>
        <w:rPr>
          <w:rFonts w:hint="eastAsia" w:ascii="仿宋_GB2312" w:hAnsi="仿宋_GB2312" w:eastAsia="仿宋_GB2312" w:cs="仿宋_GB2312"/>
          <w:color w:val="auto"/>
          <w:spacing w:val="-1"/>
          <w:sz w:val="32"/>
          <w:szCs w:val="32"/>
          <w:highlight w:val="none"/>
        </w:rPr>
        <w:t>共享平台及技术体系≥10个，完成目标；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12. </w:t>
      </w:r>
      <w:r>
        <w:rPr>
          <w:rFonts w:hint="eastAsia" w:ascii="仿宋_GB2312" w:hAnsi="仿宋_GB2312" w:eastAsia="仿宋_GB2312" w:cs="仿宋_GB2312"/>
          <w:color w:val="auto"/>
          <w:spacing w:val="-1"/>
          <w:sz w:val="32"/>
          <w:szCs w:val="32"/>
          <w:highlight w:val="none"/>
        </w:rPr>
        <w:t>支持高新技术企业数量≥3家，当年已支持6家，超额完成目标；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13. </w:t>
      </w:r>
      <w:r>
        <w:rPr>
          <w:rFonts w:hint="eastAsia" w:ascii="仿宋_GB2312" w:hAnsi="仿宋_GB2312" w:eastAsia="仿宋_GB2312" w:cs="仿宋_GB2312"/>
          <w:color w:val="auto"/>
          <w:spacing w:val="-1"/>
          <w:sz w:val="32"/>
          <w:szCs w:val="32"/>
          <w:highlight w:val="none"/>
        </w:rPr>
        <w:t>支持科技型中小企业数量≥4家，完成目标；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14. </w:t>
      </w:r>
      <w:r>
        <w:rPr>
          <w:rFonts w:hint="eastAsia" w:ascii="仿宋_GB2312" w:hAnsi="仿宋_GB2312" w:eastAsia="仿宋_GB2312" w:cs="仿宋_GB2312"/>
          <w:color w:val="auto"/>
          <w:spacing w:val="-1"/>
          <w:sz w:val="32"/>
          <w:szCs w:val="32"/>
          <w:highlight w:val="none"/>
        </w:rPr>
        <w:t>提供技术咨询/技术服务数量≥90人/次，当年已达93人，超额完成目标；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15. </w:t>
      </w:r>
      <w:r>
        <w:rPr>
          <w:rFonts w:hint="eastAsia" w:ascii="仿宋_GB2312" w:hAnsi="仿宋_GB2312" w:eastAsia="仿宋_GB2312" w:cs="仿宋_GB2312"/>
          <w:color w:val="auto"/>
          <w:spacing w:val="-1"/>
          <w:sz w:val="32"/>
          <w:szCs w:val="32"/>
          <w:highlight w:val="none"/>
        </w:rPr>
        <w:t>培训从事技术创新服务人员数量≥90人/次，当年已达105人，超额完成目标；</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36" w:firstLineChars="200"/>
        <w:textAlignment w:val="auto"/>
        <w:rPr>
          <w:rFonts w:hint="eastAsia" w:ascii="仿宋_GB2312" w:hAnsi="仿宋_GB2312" w:eastAsia="仿宋_GB2312" w:cs="仿宋_GB2312"/>
          <w:color w:val="auto"/>
          <w:spacing w:val="-1"/>
          <w:sz w:val="32"/>
          <w:szCs w:val="32"/>
          <w:highlight w:val="none"/>
        </w:rPr>
      </w:pPr>
      <w:r>
        <w:rPr>
          <w:rFonts w:hint="eastAsia" w:ascii="仿宋_GB2312" w:hAnsi="仿宋_GB2312" w:eastAsia="仿宋_GB2312" w:cs="仿宋_GB2312"/>
          <w:color w:val="auto"/>
          <w:spacing w:val="-1"/>
          <w:sz w:val="32"/>
          <w:szCs w:val="32"/>
          <w:highlight w:val="none"/>
          <w:lang w:val="en-US" w:eastAsia="zh-CN"/>
        </w:rPr>
        <w:t xml:space="preserve">16. </w:t>
      </w:r>
      <w:r>
        <w:rPr>
          <w:rFonts w:hint="eastAsia" w:ascii="仿宋_GB2312" w:hAnsi="仿宋_GB2312" w:eastAsia="仿宋_GB2312" w:cs="仿宋_GB2312"/>
          <w:color w:val="auto"/>
          <w:spacing w:val="-1"/>
          <w:sz w:val="32"/>
          <w:szCs w:val="32"/>
          <w:highlight w:val="none"/>
        </w:rPr>
        <w:t>被服务对象满意度≥90%,完成目标。</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（三）部门评价结果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本部门202</w:t>
      </w:r>
      <w:r>
        <w:rPr>
          <w:rFonts w:hint="eastAsia" w:ascii="仿宋_GB2312" w:hAnsi="仿宋_GB2312" w:eastAsia="仿宋_GB2312" w:cs="仿宋_GB2312"/>
          <w:color w:val="auto"/>
          <w:kern w:val="0"/>
          <w:sz w:val="32"/>
          <w:szCs w:val="32"/>
          <w:highlight w:val="none"/>
          <w:lang w:val="en-US" w:eastAsia="zh-CN" w:bidi="ar"/>
        </w:rPr>
        <w:t>4</w:t>
      </w:r>
      <w:r>
        <w:rPr>
          <w:rFonts w:hint="eastAsia" w:ascii="仿宋_GB2312" w:hAnsi="仿宋_GB2312" w:eastAsia="仿宋_GB2312" w:cs="仿宋_GB2312"/>
          <w:color w:val="auto"/>
          <w:kern w:val="0"/>
          <w:sz w:val="32"/>
          <w:szCs w:val="32"/>
          <w:highlight w:val="none"/>
          <w:lang w:bidi="ar"/>
        </w:rPr>
        <w:t>年度开展“陆海空”科技专项项目部门评价，根据年初设定的绩效目标，部门项目绩效评价分数为</w:t>
      </w:r>
      <w:r>
        <w:rPr>
          <w:rFonts w:hint="eastAsia" w:ascii="仿宋_GB2312" w:hAnsi="仿宋_GB2312" w:eastAsia="仿宋_GB2312" w:cs="仿宋_GB2312"/>
          <w:color w:val="auto"/>
          <w:kern w:val="0"/>
          <w:sz w:val="32"/>
          <w:szCs w:val="32"/>
          <w:highlight w:val="none"/>
          <w:lang w:val="en-US" w:eastAsia="zh-CN" w:bidi="ar"/>
        </w:rPr>
        <w:t>100</w:t>
      </w:r>
      <w:r>
        <w:rPr>
          <w:rFonts w:hint="eastAsia" w:ascii="仿宋_GB2312" w:hAnsi="仿宋_GB2312" w:eastAsia="仿宋_GB2312" w:cs="仿宋_GB2312"/>
          <w:color w:val="auto"/>
          <w:kern w:val="0"/>
          <w:sz w:val="32"/>
          <w:szCs w:val="32"/>
          <w:highlight w:val="none"/>
          <w:lang w:bidi="ar"/>
        </w:rPr>
        <w:t>分，等级为优。全年预算数为</w:t>
      </w:r>
      <w:r>
        <w:rPr>
          <w:rFonts w:hint="eastAsia" w:ascii="仿宋_GB2312" w:hAnsi="仿宋_GB2312" w:eastAsia="仿宋_GB2312" w:cs="仿宋_GB2312"/>
          <w:color w:val="auto"/>
          <w:kern w:val="0"/>
          <w:sz w:val="32"/>
          <w:szCs w:val="32"/>
          <w:highlight w:val="none"/>
          <w:lang w:val="en-US" w:eastAsia="zh-CN" w:bidi="ar"/>
        </w:rPr>
        <w:t>12,953.60</w:t>
      </w:r>
      <w:r>
        <w:rPr>
          <w:rFonts w:hint="eastAsia" w:ascii="仿宋_GB2312" w:hAnsi="仿宋_GB2312" w:eastAsia="仿宋_GB2312" w:cs="仿宋_GB2312"/>
          <w:color w:val="auto"/>
          <w:kern w:val="0"/>
          <w:sz w:val="32"/>
          <w:szCs w:val="32"/>
          <w:highlight w:val="none"/>
          <w:lang w:bidi="ar"/>
        </w:rPr>
        <w:t>万元，执行数为</w:t>
      </w:r>
      <w:r>
        <w:rPr>
          <w:rFonts w:hint="eastAsia" w:ascii="仿宋_GB2312" w:hAnsi="仿宋_GB2312" w:eastAsia="仿宋_GB2312" w:cs="仿宋_GB2312"/>
          <w:color w:val="auto"/>
          <w:kern w:val="0"/>
          <w:sz w:val="32"/>
          <w:szCs w:val="32"/>
          <w:highlight w:val="none"/>
          <w:lang w:val="en-US" w:eastAsia="zh-CN" w:bidi="ar"/>
        </w:rPr>
        <w:t>12,953.60</w:t>
      </w:r>
      <w:r>
        <w:rPr>
          <w:rFonts w:hint="eastAsia" w:ascii="仿宋_GB2312" w:hAnsi="仿宋_GB2312" w:eastAsia="仿宋_GB2312" w:cs="仿宋_GB2312"/>
          <w:color w:val="auto"/>
          <w:kern w:val="0"/>
          <w:sz w:val="32"/>
          <w:szCs w:val="32"/>
          <w:highlight w:val="none"/>
          <w:lang w:bidi="ar"/>
        </w:rPr>
        <w:t>万元，完成预算的100%。部门绩效评价报告详见附件2。</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（四）财政评价结果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本年度财政部门未抽取我单位项目进行财政绩效评价。</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highlight w:val="none"/>
        </w:rPr>
      </w:pPr>
      <w:bookmarkStart w:id="97" w:name="_Toc23598_WPSOffice_Level2"/>
      <w:bookmarkStart w:id="98" w:name="_Toc18325_WPSOffice_Level2"/>
      <w:bookmarkStart w:id="99" w:name="_Toc32639_WPSOffice_Level2"/>
      <w:bookmarkStart w:id="100" w:name="_Toc15262_WPSOffice_Level2"/>
      <w:bookmarkStart w:id="101" w:name="_Toc15565_WPSOffice_Level2"/>
      <w:bookmarkStart w:id="102" w:name="_Toc5978_WPSOffice_Level2"/>
      <w:r>
        <w:rPr>
          <w:rFonts w:hint="eastAsia" w:ascii="楷体" w:hAnsi="楷体" w:eastAsia="楷体" w:cs="楷体"/>
          <w:bCs/>
          <w:color w:val="auto"/>
          <w:sz w:val="32"/>
          <w:szCs w:val="32"/>
          <w:highlight w:val="none"/>
        </w:rPr>
        <w:t>（一）机关运行经费支出情况</w:t>
      </w:r>
      <w:bookmarkEnd w:id="97"/>
      <w:bookmarkEnd w:id="98"/>
      <w:bookmarkEnd w:id="99"/>
      <w:bookmarkEnd w:id="100"/>
      <w:bookmarkEnd w:id="101"/>
      <w:bookmarkEnd w:id="102"/>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lang w:val="en-US" w:eastAsia="zh-CN"/>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w:t>
      </w:r>
      <w:r>
        <w:rPr>
          <w:rFonts w:hint="eastAsia" w:ascii="仿宋_GB2312" w:hAnsi="ˎ̥" w:eastAsia="仿宋_GB2312" w:cs="Times New Roman"/>
          <w:color w:val="auto"/>
          <w:sz w:val="32"/>
          <w:szCs w:val="32"/>
          <w:highlight w:val="none"/>
          <w:lang w:val="en-US" w:eastAsia="zh-CN"/>
        </w:rPr>
        <w:t>海南省种业实验室</w:t>
      </w:r>
      <w:r>
        <w:rPr>
          <w:rFonts w:hint="eastAsia" w:ascii="仿宋_GB2312" w:hAnsi="ˎ̥" w:eastAsia="仿宋_GB2312"/>
          <w:color w:val="auto"/>
          <w:sz w:val="32"/>
          <w:szCs w:val="32"/>
          <w:highlight w:val="none"/>
        </w:rPr>
        <w:t>部门机关运行经费</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万元，比年初预算增加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val="en-US" w:eastAsia="zh-CN"/>
        </w:rPr>
        <w:t>完成预算的0</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与2023年度相比，机关运行经费</w:t>
      </w:r>
      <w:r>
        <w:rPr>
          <w:rFonts w:hint="eastAsia" w:ascii="仿宋_GB2312" w:hAnsi="ˎ̥" w:eastAsia="仿宋_GB2312"/>
          <w:color w:val="auto"/>
          <w:sz w:val="32"/>
          <w:szCs w:val="32"/>
          <w:highlight w:val="none"/>
        </w:rPr>
        <w:t>增加</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增长0%。</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highlight w:val="none"/>
        </w:rPr>
      </w:pPr>
      <w:bookmarkStart w:id="103" w:name="_Toc23966_WPSOffice_Level2"/>
      <w:bookmarkStart w:id="104" w:name="_Toc13084_WPSOffice_Level2"/>
      <w:bookmarkStart w:id="105" w:name="_Toc25333_WPSOffice_Level2"/>
      <w:bookmarkStart w:id="106" w:name="_Toc32689_WPSOffice_Level2"/>
      <w:bookmarkStart w:id="107" w:name="_Toc30383_WPSOffice_Level2"/>
      <w:bookmarkStart w:id="108" w:name="_Toc3131_WPSOffice_Level2"/>
      <w:r>
        <w:rPr>
          <w:rFonts w:hint="eastAsia" w:ascii="楷体" w:hAnsi="楷体" w:eastAsia="楷体" w:cs="楷体"/>
          <w:bCs/>
          <w:color w:val="auto"/>
          <w:sz w:val="32"/>
          <w:szCs w:val="32"/>
          <w:highlight w:val="none"/>
        </w:rPr>
        <w:t>（二）政府采购支出情况</w:t>
      </w:r>
      <w:bookmarkEnd w:id="103"/>
      <w:bookmarkEnd w:id="104"/>
      <w:bookmarkEnd w:id="105"/>
      <w:bookmarkEnd w:id="106"/>
      <w:bookmarkEnd w:id="107"/>
      <w:bookmarkEnd w:id="108"/>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ˎ̥" w:eastAsia="仿宋_GB2312"/>
          <w:color w:val="auto"/>
          <w:sz w:val="32"/>
          <w:szCs w:val="32"/>
          <w:highlight w:val="none"/>
        </w:rPr>
      </w:pPr>
      <w:r>
        <w:rPr>
          <w:rFonts w:hint="default" w:ascii="仿宋_GB2312" w:hAnsi="ˎ̥" w:eastAsia="仿宋_GB2312"/>
          <w:color w:val="auto"/>
          <w:sz w:val="32"/>
          <w:szCs w:val="32"/>
          <w:highlight w:val="none"/>
          <w:lang w:val="en-US"/>
        </w:rPr>
        <w:t>2024</w:t>
      </w:r>
      <w:r>
        <w:rPr>
          <w:rFonts w:hint="eastAsia" w:ascii="仿宋_GB2312" w:hAnsi="ˎ̥" w:eastAsia="仿宋_GB2312"/>
          <w:color w:val="auto"/>
          <w:sz w:val="32"/>
          <w:szCs w:val="32"/>
          <w:highlight w:val="none"/>
        </w:rPr>
        <w:t>年度</w:t>
      </w:r>
      <w:r>
        <w:rPr>
          <w:rFonts w:hint="eastAsia" w:ascii="仿宋_GB2312" w:hAnsi="ˎ̥" w:eastAsia="仿宋_GB2312" w:cs="Times New Roman"/>
          <w:color w:val="auto"/>
          <w:sz w:val="32"/>
          <w:szCs w:val="32"/>
          <w:highlight w:val="none"/>
          <w:lang w:val="en-US" w:eastAsia="zh-CN"/>
        </w:rPr>
        <w:t>海南省种业实验室</w:t>
      </w:r>
      <w:r>
        <w:rPr>
          <w:rFonts w:hint="eastAsia" w:ascii="仿宋_GB2312" w:hAnsi="ˎ̥" w:eastAsia="仿宋_GB2312"/>
          <w:color w:val="auto"/>
          <w:sz w:val="32"/>
          <w:szCs w:val="32"/>
          <w:highlight w:val="none"/>
        </w:rPr>
        <w:t>部门政府采购支出总额</w:t>
      </w:r>
      <w:r>
        <w:rPr>
          <w:rFonts w:hint="eastAsia" w:ascii="仿宋_GB2312" w:hAnsi="ˎ̥" w:eastAsia="仿宋_GB2312"/>
          <w:color w:val="auto"/>
          <w:sz w:val="32"/>
          <w:szCs w:val="32"/>
          <w:highlight w:val="none"/>
          <w:lang w:val="en-US" w:eastAsia="zh-CN"/>
        </w:rPr>
        <w:t>228.08</w:t>
      </w:r>
      <w:r>
        <w:rPr>
          <w:rFonts w:hint="eastAsia" w:ascii="仿宋_GB2312" w:hAnsi="ˎ̥" w:eastAsia="仿宋_GB2312"/>
          <w:color w:val="auto"/>
          <w:sz w:val="32"/>
          <w:szCs w:val="32"/>
          <w:highlight w:val="none"/>
        </w:rPr>
        <w:t>万元，其中：政府采购货物支出</w:t>
      </w:r>
      <w:r>
        <w:rPr>
          <w:rFonts w:hint="eastAsia" w:ascii="仿宋_GB2312" w:hAnsi="ˎ̥" w:eastAsia="仿宋_GB2312"/>
          <w:color w:val="auto"/>
          <w:sz w:val="32"/>
          <w:szCs w:val="32"/>
          <w:highlight w:val="none"/>
          <w:lang w:val="en-US" w:eastAsia="zh-CN"/>
        </w:rPr>
        <w:t>228.08</w:t>
      </w:r>
      <w:r>
        <w:rPr>
          <w:rFonts w:hint="eastAsia" w:ascii="仿宋_GB2312" w:hAnsi="ˎ̥" w:eastAsia="仿宋_GB2312"/>
          <w:color w:val="auto"/>
          <w:sz w:val="32"/>
          <w:szCs w:val="32"/>
          <w:highlight w:val="none"/>
        </w:rPr>
        <w:t>万元、政府采购工程支出</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万元、政府采购服务支出</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万元。授予中小企业合同金额</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万元，占政府采购支出总额的</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%，其中：授予小微企业合同金额</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eastAsia" w:ascii="仿宋_GB2312" w:hAnsi="仿宋_GB2312" w:eastAsia="仿宋_GB2312" w:cs="仿宋_GB2312"/>
          <w:color w:val="auto"/>
          <w:kern w:val="0"/>
          <w:sz w:val="32"/>
          <w:szCs w:val="32"/>
          <w:highlight w:val="none"/>
          <w:lang w:bidi="ar"/>
        </w:rPr>
        <w:t>授予中小企业合同金额</w:t>
      </w:r>
      <w:r>
        <w:rPr>
          <w:rFonts w:hint="eastAsia" w:ascii="仿宋_GB2312" w:hAnsi="仿宋_GB2312" w:eastAsia="仿宋_GB2312" w:cs="仿宋_GB2312"/>
          <w:color w:val="auto"/>
          <w:sz w:val="32"/>
          <w:szCs w:val="32"/>
          <w:highlight w:val="none"/>
        </w:rPr>
        <w:t>的</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color w:val="auto"/>
          <w:sz w:val="32"/>
          <w:szCs w:val="32"/>
          <w:highlight w:val="none"/>
        </w:rPr>
      </w:pPr>
      <w:bookmarkStart w:id="109" w:name="_Toc527_WPSOffice_Level2"/>
      <w:bookmarkStart w:id="110" w:name="_Toc6016_WPSOffice_Level2"/>
      <w:bookmarkStart w:id="111" w:name="_Toc15129_WPSOffice_Level2"/>
      <w:bookmarkStart w:id="112" w:name="_Toc19989_WPSOffice_Level2"/>
      <w:bookmarkStart w:id="113" w:name="_Toc10902_WPSOffice_Level2"/>
      <w:bookmarkStart w:id="114" w:name="_Toc29584_WPSOffice_Level2"/>
      <w:r>
        <w:rPr>
          <w:rFonts w:hint="eastAsia" w:ascii="楷体" w:hAnsi="楷体" w:eastAsia="楷体" w:cs="楷体"/>
          <w:bCs/>
          <w:color w:val="auto"/>
          <w:sz w:val="32"/>
          <w:szCs w:val="32"/>
          <w:highlight w:val="none"/>
        </w:rPr>
        <w:t>（三）国有资产占用情况</w:t>
      </w:r>
      <w:bookmarkEnd w:id="109"/>
      <w:bookmarkEnd w:id="110"/>
      <w:bookmarkEnd w:id="111"/>
      <w:bookmarkEnd w:id="112"/>
      <w:bookmarkEnd w:id="113"/>
      <w:bookmarkEnd w:id="114"/>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bCs/>
          <w:color w:val="auto"/>
          <w:sz w:val="32"/>
          <w:szCs w:val="32"/>
          <w:highlight w:val="none"/>
        </w:rPr>
        <w:t>截至</w:t>
      </w:r>
      <w:r>
        <w:rPr>
          <w:rFonts w:hint="default" w:ascii="仿宋_GB2312" w:hAnsi="ˎ̥" w:eastAsia="仿宋_GB2312"/>
          <w:bCs/>
          <w:color w:val="auto"/>
          <w:sz w:val="32"/>
          <w:szCs w:val="32"/>
          <w:highlight w:val="none"/>
          <w:lang w:val="en-US"/>
        </w:rPr>
        <w:t>2024</w:t>
      </w:r>
      <w:r>
        <w:rPr>
          <w:rFonts w:hint="eastAsia" w:ascii="仿宋_GB2312" w:hAnsi="ˎ̥" w:eastAsia="仿宋_GB2312"/>
          <w:bCs/>
          <w:color w:val="auto"/>
          <w:sz w:val="32"/>
          <w:szCs w:val="32"/>
          <w:highlight w:val="none"/>
        </w:rPr>
        <w:t>年12月31日，本部门拥有</w:t>
      </w:r>
      <w:r>
        <w:rPr>
          <w:rFonts w:hint="eastAsia" w:ascii="仿宋_GB2312" w:hAnsi="ˎ̥" w:eastAsia="仿宋_GB2312"/>
          <w:color w:val="auto"/>
          <w:sz w:val="32"/>
          <w:szCs w:val="32"/>
          <w:highlight w:val="none"/>
        </w:rPr>
        <w:t>房屋面积1542253.38平方米</w:t>
      </w:r>
      <w:r>
        <w:rPr>
          <w:rFonts w:hint="eastAsia" w:ascii="仿宋_GB2312" w:hAnsi="ˎ̥"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本部门共有车辆</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辆，其中，副部（省）级及以上领导用车</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辆、主要负责人用车</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辆、机要通信用车</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辆、应急保障用车</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辆、执法执勤用车</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辆、特种专业技术用车</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辆、离退休干部服务用车</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辆、其他用车</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单价100万元（含）以上设备（不含车辆）</w:t>
      </w:r>
      <w:r>
        <w:rPr>
          <w:rFonts w:hint="eastAsia" w:ascii="仿宋_GB2312" w:hAnsi="ˎ̥" w:eastAsia="仿宋_GB2312"/>
          <w:color w:val="auto"/>
          <w:sz w:val="32"/>
          <w:szCs w:val="32"/>
          <w:highlight w:val="none"/>
          <w:lang w:val="en-US" w:eastAsia="zh-CN"/>
        </w:rPr>
        <w:t>0</w:t>
      </w:r>
      <w:r>
        <w:rPr>
          <w:rFonts w:hint="eastAsia" w:ascii="仿宋_GB2312" w:hAnsi="ˎ̥" w:eastAsia="仿宋_GB2312"/>
          <w:color w:val="auto"/>
          <w:sz w:val="32"/>
          <w:szCs w:val="32"/>
          <w:highlight w:val="none"/>
        </w:rPr>
        <w:t>台（套）。</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auto"/>
          <w:sz w:val="32"/>
          <w:szCs w:val="32"/>
          <w:highlight w:val="none"/>
        </w:rPr>
      </w:pPr>
      <w:bookmarkStart w:id="115" w:name="_Toc8808_WPSOffice_Level1"/>
      <w:bookmarkStart w:id="116" w:name="_Toc15425_WPSOffice_Level1"/>
      <w:bookmarkStart w:id="117" w:name="_Toc17580_WPSOffice_Level1"/>
      <w:bookmarkStart w:id="118" w:name="_Toc8874_WPSOffice_Level1"/>
      <w:bookmarkStart w:id="119" w:name="_Toc4398_WPSOffice_Level1"/>
      <w:bookmarkStart w:id="120" w:name="_Toc11039_WPSOffice_Level1"/>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auto"/>
          <w:sz w:val="32"/>
          <w:szCs w:val="32"/>
          <w:highlight w:val="none"/>
        </w:rPr>
      </w:pPr>
      <w:r>
        <w:rPr>
          <w:rFonts w:hint="eastAsia" w:ascii="黑体" w:hAnsi="ˎ̥" w:eastAsia="黑体"/>
          <w:color w:val="auto"/>
          <w:sz w:val="32"/>
          <w:szCs w:val="32"/>
          <w:highlight w:val="none"/>
        </w:rPr>
        <w:t>第四部分  名词解释</w:t>
      </w:r>
      <w:bookmarkEnd w:id="115"/>
      <w:bookmarkEnd w:id="116"/>
      <w:bookmarkEnd w:id="117"/>
      <w:bookmarkEnd w:id="118"/>
      <w:bookmarkEnd w:id="119"/>
      <w:bookmarkEnd w:id="120"/>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color w:val="auto"/>
          <w:sz w:val="32"/>
          <w:szCs w:val="32"/>
          <w:highlight w:val="none"/>
        </w:rPr>
      </w:pPr>
    </w:p>
    <w:p>
      <w:pPr>
        <w:keepNext w:val="0"/>
        <w:keepLines w:val="0"/>
        <w:pageBreakBefore w:val="0"/>
        <w:widowControl w:val="0"/>
        <w:numPr>
          <w:ilvl w:val="0"/>
          <w:numId w:val="5"/>
        </w:numPr>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财政拨款收入：指同级政府财政部门当年拨付的各类财政拨款。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二、上级补助收入：指事业单位从主管部门和上级单位取得的非财政补助收入。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四、经营收入：指事业单位在专业业务活动及其辅助活动之外开展非独立核算经营活动取得的收入。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五、附属单位上缴收入：指事业单位取得附属独立核算单位根据有关规定上缴的收入。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六、其他收入：指除上述“财政拨款收入”“事业收入”“上级补助收入”“经营收入”“附属单位上缴收入”等以外的收入。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八、年初结转和结余：指以前年度尚未完成、结转到本年按有关规定继续使用的资金，或项目已完成等产生的结余资金。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九、结余分配：指事业单位缴纳企业所得税以及从非财政拨款结余或经营结余中提取各类结余的情况。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十一、基本支出：指为保障机构正常运转、完成日常工作任务而发生的人员支出和公用支出。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十六、支出功能分类：</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科学技术支出（类）基础研究（款）自然科学基金（项），反映各级政府设立的自然科学基金支出；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科学技术支出（类）基础研究（款）科技人才队伍建设（项），反映高层次科技人才、科研机构研究生培养和博士后科学基金等方面的支出；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科学技术支出（类）应用研究（款）其他应用研究支出（项），反映其他用于应用研究方面的支出；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科学技术支出（类）技术研究与开发（款）其他技术研究与开发支出（项），反映其他用于技术研究与开发方面的支出；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科学技术支出（类）科技条件与服务（款）科技条件专项（项），反映国家用于完善科技条件的支出，包括科技文献信息、网络环境支撑等科技条件专项支出等；</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科学技术支出（类）科技重大项目（款）重</w:t>
      </w:r>
      <w:bookmarkStart w:id="121" w:name="_GoBack"/>
      <w:bookmarkEnd w:id="121"/>
      <w:r>
        <w:rPr>
          <w:rFonts w:hint="eastAsia" w:ascii="仿宋_GB2312" w:hAnsi="ˎ̥" w:eastAsia="仿宋_GB2312"/>
          <w:color w:val="auto"/>
          <w:sz w:val="32"/>
          <w:szCs w:val="32"/>
          <w:highlight w:val="none"/>
          <w:lang w:val="en-US" w:eastAsia="zh-CN"/>
        </w:rPr>
        <w:t>点研发计划（项），反映用于重点研发计划的有关经费支出；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科学技术支出（类）其他科学技术支出（款）其他科学技术支出（项），反映其他科学技术支出中其他用于科技方面的支出。</w:t>
      </w:r>
    </w:p>
    <w:p>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eastAsia" w:ascii="仿宋_GB2312" w:hAnsi="ˎ̥" w:eastAsia="仿宋_GB2312"/>
          <w:color w:val="auto"/>
          <w:sz w:val="32"/>
          <w:szCs w:val="32"/>
          <w:highlight w:val="none"/>
        </w:rPr>
      </w:pPr>
    </w:p>
    <w:p>
      <w:pPr>
        <w:spacing w:line="578" w:lineRule="exact"/>
        <w:ind w:firstLine="640" w:firstLineChars="200"/>
        <w:rPr>
          <w:rFonts w:hint="default" w:ascii="仿宋_GB2312" w:hAnsi="ˎ̥" w:eastAsia="仿宋_GB2312" w:cs="Times New Roman"/>
          <w:color w:val="auto"/>
          <w:sz w:val="32"/>
          <w:szCs w:val="32"/>
          <w:highlight w:val="none"/>
          <w:lang w:val="en-US" w:eastAsia="zh-CN"/>
        </w:rPr>
      </w:pPr>
      <w:r>
        <w:rPr>
          <w:rFonts w:hint="eastAsia" w:ascii="仿宋_GB2312" w:hAnsi="ˎ̥" w:eastAsia="仿宋_GB2312" w:cs="Times New Roman"/>
          <w:color w:val="auto"/>
          <w:sz w:val="32"/>
          <w:szCs w:val="32"/>
          <w:highlight w:val="none"/>
          <w:lang w:val="en-US" w:eastAsia="zh-CN"/>
        </w:rPr>
        <w:t>附件：1.海南省种业实验室决算公开报表</w:t>
      </w:r>
    </w:p>
    <w:p>
      <w:pPr>
        <w:spacing w:line="578" w:lineRule="exact"/>
        <w:ind w:firstLine="1600" w:firstLineChars="500"/>
        <w:rPr>
          <w:rFonts w:hint="default" w:ascii="仿宋_GB2312" w:hAnsi="ˎ̥" w:eastAsia="仿宋_GB2312" w:cs="Times New Roman"/>
          <w:color w:val="auto"/>
          <w:sz w:val="32"/>
          <w:szCs w:val="32"/>
          <w:highlight w:val="none"/>
          <w:lang w:val="en-US" w:eastAsia="zh-CN"/>
        </w:rPr>
      </w:pPr>
      <w:r>
        <w:rPr>
          <w:rFonts w:hint="eastAsia" w:ascii="仿宋_GB2312" w:hAnsi="ˎ̥" w:eastAsia="仿宋_GB2312" w:cs="Times New Roman"/>
          <w:color w:val="auto"/>
          <w:sz w:val="32"/>
          <w:szCs w:val="32"/>
          <w:highlight w:val="none"/>
          <w:lang w:val="en-US" w:eastAsia="zh-CN"/>
        </w:rPr>
        <w:t>2.项目支出绩效自评报告</w:t>
      </w:r>
    </w:p>
    <w:p>
      <w:pPr>
        <w:keepNext w:val="0"/>
        <w:keepLines w:val="0"/>
        <w:pageBreakBefore w:val="0"/>
        <w:widowControl w:val="0"/>
        <w:kinsoku/>
        <w:wordWrap/>
        <w:overflowPunct/>
        <w:topLinePunct w:val="0"/>
        <w:autoSpaceDE/>
        <w:autoSpaceDN/>
        <w:bidi w:val="0"/>
        <w:adjustRightInd/>
        <w:snapToGrid/>
        <w:spacing w:line="578" w:lineRule="exact"/>
        <w:textAlignment w:val="auto"/>
        <w:rPr>
          <w:color w:val="auto"/>
          <w:highlight w:val="none"/>
        </w:rPr>
      </w:pP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18</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D9274051"/>
    <w:multiLevelType w:val="singleLevel"/>
    <w:tmpl w:val="D9274051"/>
    <w:lvl w:ilvl="0" w:tentative="0">
      <w:start w:val="1"/>
      <w:numFmt w:val="chineseCounting"/>
      <w:suff w:val="nothing"/>
      <w:lvlText w:val="（%1）"/>
      <w:lvlJc w:val="left"/>
      <w:rPr>
        <w:rFonts w:hint="eastAsia"/>
      </w:rPr>
    </w:lvl>
  </w:abstractNum>
  <w:abstractNum w:abstractNumId="2">
    <w:nsid w:val="1C28E2FF"/>
    <w:multiLevelType w:val="singleLevel"/>
    <w:tmpl w:val="1C28E2FF"/>
    <w:lvl w:ilvl="0" w:tentative="0">
      <w:start w:val="1"/>
      <w:numFmt w:val="decimal"/>
      <w:suff w:val="space"/>
      <w:lvlText w:val="%1."/>
      <w:lvlJc w:val="left"/>
    </w:lvl>
  </w:abstractNum>
  <w:abstractNum w:abstractNumId="3">
    <w:nsid w:val="2F289AA6"/>
    <w:multiLevelType w:val="singleLevel"/>
    <w:tmpl w:val="2F289AA6"/>
    <w:lvl w:ilvl="0" w:tentative="0">
      <w:start w:val="1"/>
      <w:numFmt w:val="chineseCounting"/>
      <w:suff w:val="nothing"/>
      <w:lvlText w:val="%1、"/>
      <w:lvlJc w:val="left"/>
      <w:rPr>
        <w:rFonts w:hint="eastAsia"/>
      </w:rPr>
    </w:lvl>
  </w:abstractNum>
  <w:abstractNum w:abstractNumId="4">
    <w:nsid w:val="72109F8D"/>
    <w:multiLevelType w:val="singleLevel"/>
    <w:tmpl w:val="72109F8D"/>
    <w:lvl w:ilvl="0" w:tentative="0">
      <w:start w:val="7"/>
      <w:numFmt w:val="chineseCounting"/>
      <w:suff w:val="nothing"/>
      <w:lvlText w:val="%1、"/>
      <w:lvlJc w:val="left"/>
      <w:rPr>
        <w:rFonts w:hint="eastAsia"/>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kMzExMzM1NzU5NzcxZTEyODEyMjVjN2FkY2ZhY2Q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1A050EF"/>
    <w:rsid w:val="02D266EC"/>
    <w:rsid w:val="05CE7848"/>
    <w:rsid w:val="05D82324"/>
    <w:rsid w:val="06021ED4"/>
    <w:rsid w:val="080A1514"/>
    <w:rsid w:val="09201287"/>
    <w:rsid w:val="0A71587A"/>
    <w:rsid w:val="0C230DF6"/>
    <w:rsid w:val="0FC80124"/>
    <w:rsid w:val="110C2398"/>
    <w:rsid w:val="116456EE"/>
    <w:rsid w:val="123C0392"/>
    <w:rsid w:val="136F98C7"/>
    <w:rsid w:val="13CF5BF8"/>
    <w:rsid w:val="17427E68"/>
    <w:rsid w:val="1755065F"/>
    <w:rsid w:val="1AFC29C9"/>
    <w:rsid w:val="1CA52F2E"/>
    <w:rsid w:val="1E3630B9"/>
    <w:rsid w:val="200F7B41"/>
    <w:rsid w:val="22596EC8"/>
    <w:rsid w:val="24107A5A"/>
    <w:rsid w:val="26EEC2B5"/>
    <w:rsid w:val="27E2170E"/>
    <w:rsid w:val="29472309"/>
    <w:rsid w:val="297256D1"/>
    <w:rsid w:val="2B406E77"/>
    <w:rsid w:val="2BE75544"/>
    <w:rsid w:val="2C2A0C43"/>
    <w:rsid w:val="2D1E73A5"/>
    <w:rsid w:val="312132A7"/>
    <w:rsid w:val="32717154"/>
    <w:rsid w:val="34B128F9"/>
    <w:rsid w:val="34B63260"/>
    <w:rsid w:val="376D0FF4"/>
    <w:rsid w:val="37820CA1"/>
    <w:rsid w:val="37FDA7E2"/>
    <w:rsid w:val="3A0549F6"/>
    <w:rsid w:val="3A314D88"/>
    <w:rsid w:val="3A746883"/>
    <w:rsid w:val="3C2610B3"/>
    <w:rsid w:val="3CA15DE9"/>
    <w:rsid w:val="3E6863DC"/>
    <w:rsid w:val="3FE61EE5"/>
    <w:rsid w:val="406508EE"/>
    <w:rsid w:val="408D6263"/>
    <w:rsid w:val="41B40CEE"/>
    <w:rsid w:val="43EF46D3"/>
    <w:rsid w:val="48317291"/>
    <w:rsid w:val="485F7024"/>
    <w:rsid w:val="48E70666"/>
    <w:rsid w:val="495D243E"/>
    <w:rsid w:val="49793828"/>
    <w:rsid w:val="4ABF170F"/>
    <w:rsid w:val="4B174D75"/>
    <w:rsid w:val="4C013661"/>
    <w:rsid w:val="4C6877E5"/>
    <w:rsid w:val="4CA46E0E"/>
    <w:rsid w:val="4D6A468D"/>
    <w:rsid w:val="4DA55FE9"/>
    <w:rsid w:val="4EA86137"/>
    <w:rsid w:val="4FCD667C"/>
    <w:rsid w:val="525D75B3"/>
    <w:rsid w:val="53095C1D"/>
    <w:rsid w:val="56CA7FD0"/>
    <w:rsid w:val="56CD51B3"/>
    <w:rsid w:val="576501BC"/>
    <w:rsid w:val="57D728A2"/>
    <w:rsid w:val="57FA38D1"/>
    <w:rsid w:val="5F7D3333"/>
    <w:rsid w:val="610B0881"/>
    <w:rsid w:val="61385890"/>
    <w:rsid w:val="64850E7B"/>
    <w:rsid w:val="64992B79"/>
    <w:rsid w:val="65A86053"/>
    <w:rsid w:val="67D23E0F"/>
    <w:rsid w:val="687436E1"/>
    <w:rsid w:val="6DA45C50"/>
    <w:rsid w:val="6E9A7825"/>
    <w:rsid w:val="6EC57494"/>
    <w:rsid w:val="6EEC3222"/>
    <w:rsid w:val="6F670F9B"/>
    <w:rsid w:val="73075997"/>
    <w:rsid w:val="737450E0"/>
    <w:rsid w:val="74054476"/>
    <w:rsid w:val="742F38C4"/>
    <w:rsid w:val="74AB66DC"/>
    <w:rsid w:val="74C4154C"/>
    <w:rsid w:val="74F71921"/>
    <w:rsid w:val="75956FFF"/>
    <w:rsid w:val="77251384"/>
    <w:rsid w:val="77AA2D01"/>
    <w:rsid w:val="78C4203B"/>
    <w:rsid w:val="7AEF309B"/>
    <w:rsid w:val="7CDE1DBD"/>
    <w:rsid w:val="7D943A85"/>
    <w:rsid w:val="7DB0448C"/>
    <w:rsid w:val="7E5F9AA4"/>
    <w:rsid w:val="7F1255AA"/>
    <w:rsid w:val="8FFC8888"/>
    <w:rsid w:val="A7F73C99"/>
    <w:rsid w:val="BFFE3BF4"/>
    <w:rsid w:val="DFEBDA37"/>
    <w:rsid w:val="EF6FCA1D"/>
    <w:rsid w:val="EFFF57D6"/>
    <w:rsid w:val="FD33A2D0"/>
    <w:rsid w:val="FF7FA20F"/>
    <w:rsid w:val="FFFE81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ody Text"/>
    <w:basedOn w:val="1"/>
    <w:semiHidden/>
    <w:qFormat/>
    <w:uiPriority w:val="0"/>
    <w:rPr>
      <w:rFonts w:ascii="仿宋" w:hAnsi="仿宋" w:eastAsia="仿宋" w:cs="仿宋"/>
      <w:sz w:val="30"/>
      <w:szCs w:val="30"/>
      <w:lang w:val="en-US" w:eastAsia="en-US" w:bidi="ar-SA"/>
    </w:r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qFormat/>
    <w:uiPriority w:val="0"/>
    <w:rPr>
      <w:b/>
      <w:bCs/>
    </w:rPr>
  </w:style>
  <w:style w:type="character" w:styleId="10">
    <w:name w:val="Strong"/>
    <w:basedOn w:val="9"/>
    <w:qFormat/>
    <w:uiPriority w:val="0"/>
    <w:rPr>
      <w:b/>
    </w:rPr>
  </w:style>
  <w:style w:type="character" w:styleId="11">
    <w:name w:val="page number"/>
    <w:qFormat/>
    <w:uiPriority w:val="0"/>
  </w:style>
  <w:style w:type="character" w:styleId="12">
    <w:name w:val="annotation reference"/>
    <w:qFormat/>
    <w:uiPriority w:val="0"/>
    <w:rPr>
      <w:sz w:val="21"/>
      <w:szCs w:val="21"/>
    </w:rPr>
  </w:style>
  <w:style w:type="character" w:customStyle="1" w:styleId="13">
    <w:name w:val="批注文字 Char"/>
    <w:link w:val="2"/>
    <w:qFormat/>
    <w:uiPriority w:val="0"/>
    <w:rPr>
      <w:kern w:val="2"/>
      <w:sz w:val="21"/>
      <w:szCs w:val="24"/>
    </w:rPr>
  </w:style>
  <w:style w:type="character" w:customStyle="1" w:styleId="14">
    <w:name w:val="批注框文本 Char"/>
    <w:link w:val="4"/>
    <w:qFormat/>
    <w:uiPriority w:val="0"/>
    <w:rPr>
      <w:kern w:val="2"/>
      <w:sz w:val="18"/>
      <w:szCs w:val="18"/>
    </w:rPr>
  </w:style>
  <w:style w:type="character" w:customStyle="1" w:styleId="15">
    <w:name w:val="页眉 Char"/>
    <w:link w:val="6"/>
    <w:qFormat/>
    <w:uiPriority w:val="0"/>
    <w:rPr>
      <w:kern w:val="2"/>
      <w:sz w:val="18"/>
      <w:szCs w:val="18"/>
    </w:rPr>
  </w:style>
  <w:style w:type="character" w:customStyle="1" w:styleId="16">
    <w:name w:val="批注主题 Char"/>
    <w:link w:val="7"/>
    <w:qFormat/>
    <w:uiPriority w:val="0"/>
    <w:rPr>
      <w:b/>
      <w:bCs/>
      <w:kern w:val="2"/>
      <w:sz w:val="21"/>
      <w:szCs w:val="24"/>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WPSOffice手动目录 2"/>
    <w:qFormat/>
    <w:uiPriority w:val="0"/>
    <w:pPr>
      <w:ind w:leftChars="200"/>
    </w:pPr>
    <w:rPr>
      <w:rFonts w:ascii="Times New Roman" w:hAnsi="Times New Roman" w:eastAsia="宋体" w:cs="Times New Roman"/>
      <w:lang w:val="en-US" w:eastAsia="zh-CN" w:bidi="ar-SA"/>
    </w:rPr>
  </w:style>
  <w:style w:type="paragraph" w:customStyle="1" w:styleId="19">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7409</Words>
  <Characters>8252</Characters>
  <Lines>67</Lines>
  <Paragraphs>18</Paragraphs>
  <TotalTime>25</TotalTime>
  <ScaleCrop>false</ScaleCrop>
  <LinksUpToDate>false</LinksUpToDate>
  <CharactersWithSpaces>8346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2024-07-24T03:26:00Z</dcterms:created>
  <dc:creator>uos</dc:creator>
  <cp:lastModifiedBy>王朝婕</cp:lastModifiedBy>
  <cp:lastPrinted>2023-08-03T00:58:00Z</cp:lastPrinted>
  <dcterms:modified xsi:type="dcterms:W3CDTF">2025-08-27T00:21:24Z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FD7A96EC472F40ABB645F1E208132C95_13</vt:lpwstr>
  </property>
  <property fmtid="{D5CDD505-2E9C-101B-9397-08002B2CF9AE}" pid="4" name="KSOTemplateDocerSaveRecord">
    <vt:lpwstr>eyJoZGlkIjoiOTc3M2Y5NzIzMDFlZjAyY2Q4Njk5ODkyYjFjNzBiNTQiLCJ1c2VySWQiOiIzMDA1NTc0NDMifQ==</vt:lpwstr>
  </property>
</Properties>
</file>