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6E469">
      <w:pPr>
        <w:widowControl/>
        <w:spacing w:after="0" w:line="360" w:lineRule="auto"/>
        <w:jc w:val="center"/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  <w:t>海南省种业实验室与三亚华大生命科学研究院2025年度联合“揭榜挂帅”项目榜单</w:t>
      </w:r>
    </w:p>
    <w:p w14:paraId="7C0B89A7">
      <w:pPr>
        <w:widowControl/>
        <w:spacing w:after="0" w:line="360" w:lineRule="auto"/>
        <w:jc w:val="center"/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</w:pPr>
    </w:p>
    <w:p w14:paraId="13C97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黑体" w:hAnsi="黑体" w:eastAsia="黑体" w:cstheme="minorBidi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b/>
          <w:kern w:val="0"/>
          <w:sz w:val="28"/>
          <w:szCs w:val="28"/>
          <w:lang w:val="en-US" w:eastAsia="zh-CN" w:bidi="ar-SA"/>
        </w:rPr>
        <w:t>一、斑马鱼榜单</w:t>
      </w:r>
    </w:p>
    <w:p w14:paraId="544C1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0"/>
          <w:sz w:val="28"/>
          <w:szCs w:val="28"/>
          <w:lang w:val="en-US" w:eastAsia="zh-CN" w:bidi="ar-SA"/>
        </w:rPr>
        <w:t>研究内容：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基于高效率的体细胞突变模型与空间转录组多组学整合体系构建，围绕斑马鱼胚胎发育及再生的三维时空图谱构建开展原创性研究，优化高分辨率条形码设计与编辑导入策略，实现对斑马鱼受精卵至再生阶段单细胞谱系的高效记录与重建；结合高通量空间转录组测序，</w:t>
      </w:r>
      <w:bookmarkStart w:id="0" w:name="OLE_LINK1"/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重构主要器官（如心脏、鳍、肝脏、性腺、脑、垂体等）的</w:t>
      </w:r>
      <w:bookmarkStart w:id="1" w:name="OLE_LINK2"/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三维时空谱系-表达图谱</w:t>
      </w:r>
      <w:bookmarkEnd w:id="0"/>
      <w:bookmarkEnd w:id="1"/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；比较胚胎发育与损伤再生过程，揭示细胞命运决策与空间迁移规律，并识别关键调控网络；所获成果为水产遗传育种、再生医学及发育生物学等领域提供创新方法和技术平台，并推动经济价值品种的精准改良。</w:t>
      </w:r>
    </w:p>
    <w:p w14:paraId="63C75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</w:pPr>
    </w:p>
    <w:p w14:paraId="20CF7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0"/>
          <w:sz w:val="28"/>
          <w:szCs w:val="28"/>
          <w:lang w:val="en-US" w:eastAsia="zh-CN" w:bidi="ar-SA"/>
        </w:rPr>
        <w:t>考核目标：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完成高通量条形码设计与优化流程，并在斑马鱼模型中验证编辑效率与稳定性；建立 ≥95% 引导支持度的单细胞谱系树，并构建覆盖胚胎与再生过程的 3D 时空图谱；完成5种以上主要器官（如心脏、肝脏、性腺、脑、垂体等）的三维时空谱系与表达图谱绘制；开发结合突变信息的空间转录组学轨迹分析算法；发表至少1篇高影响因子SCI论文。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1211"/>
    <w:rsid w:val="31A6665D"/>
    <w:rsid w:val="329B2482"/>
    <w:rsid w:val="37F214F9"/>
    <w:rsid w:val="431E4043"/>
    <w:rsid w:val="6EAB1002"/>
    <w:rsid w:val="7286182A"/>
    <w:rsid w:val="7DF1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458</Characters>
  <Lines>0</Lines>
  <Paragraphs>0</Paragraphs>
  <TotalTime>4</TotalTime>
  <ScaleCrop>false</ScaleCrop>
  <LinksUpToDate>false</LinksUpToDate>
  <CharactersWithSpaces>462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2025-06-12T07:59:00Z</dcterms:created>
  <dc:creator>Administrator</dc:creator>
  <cp:lastModifiedBy>Administrator</cp:lastModifiedBy>
  <dcterms:modified xsi:type="dcterms:W3CDTF">2025-06-23T02:44:20Z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eyJoZGlkIjoiOTlmZTA1NjM0NGU1YjgwMzgwNWY5ZjgyMWQ2MWRiYTYifQ==</vt:lpwstr>
  </property>
  <property fmtid="{D5CDD505-2E9C-101B-9397-08002B2CF9AE}" pid="4" name="ICV">
    <vt:lpwstr>001A64C3DFE1419093621939C314858A_12</vt:lpwstr>
  </property>
</Properties>
</file>